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CAF5" w14:textId="1AD37262" w:rsidR="00BD27DB" w:rsidRPr="00BD27DB" w:rsidRDefault="00BD27DB" w:rsidP="00BD27DB">
      <w:pPr>
        <w:rPr>
          <w:b/>
          <w:bCs/>
        </w:rPr>
      </w:pPr>
      <w:r w:rsidRPr="00BD27DB">
        <w:rPr>
          <w:b/>
          <w:bCs/>
        </w:rPr>
        <w:t>Wichtige Information</w:t>
      </w:r>
      <w:r w:rsidR="00AC13D8">
        <w:rPr>
          <w:b/>
          <w:bCs/>
        </w:rPr>
        <w:t>en</w:t>
      </w:r>
      <w:r w:rsidRPr="00BD27DB">
        <w:rPr>
          <w:b/>
          <w:bCs/>
        </w:rPr>
        <w:t xml:space="preserve"> zur Zusatzvereinbarung betreffend gebundenes Vermögen</w:t>
      </w:r>
    </w:p>
    <w:p w14:paraId="7E4E153B" w14:textId="77777777" w:rsidR="00BD27DB" w:rsidRDefault="00BD27DB" w:rsidP="00BD27DB"/>
    <w:p w14:paraId="6568DD40" w14:textId="7295B89D" w:rsidR="00BD27DB" w:rsidRDefault="00BD27DB" w:rsidP="00BD27DB">
      <w:pPr>
        <w:rPr>
          <w:i/>
          <w:iCs/>
        </w:rPr>
      </w:pPr>
      <w:r w:rsidRPr="00BD27DB">
        <w:rPr>
          <w:i/>
          <w:iCs/>
        </w:rPr>
        <w:t>In Anwendung vom Grundsatz der unternehmerischen Vorsicht obliegt es der Versicherung zu prüfen, ob die nachfolgende Zusatzvereinbarung im jeweils vorliegenden Fall angemessen ist. Insbesondere jeweils in Bezug auf eine Verwahrung bei einer Drittverwahrungsstelle (i) in der Schweiz oder (ii) im Ausland sowie (i) einzeln oder (ii) in Sammelverwahrung.</w:t>
      </w:r>
    </w:p>
    <w:p w14:paraId="50945BF8" w14:textId="77777777" w:rsidR="00BD27DB" w:rsidRDefault="00BD27DB">
      <w:pPr>
        <w:rPr>
          <w:i/>
          <w:iCs/>
        </w:rPr>
      </w:pPr>
      <w:r>
        <w:rPr>
          <w:i/>
          <w:iCs/>
        </w:rPr>
        <w:br w:type="page"/>
      </w:r>
    </w:p>
    <w:p w14:paraId="44375632" w14:textId="77777777" w:rsidR="00BD27DB" w:rsidRPr="00DA3747" w:rsidRDefault="00BD27DB" w:rsidP="00BD27DB">
      <w:pPr>
        <w:spacing w:line="240" w:lineRule="atLeast"/>
        <w:jc w:val="center"/>
        <w:textAlignment w:val="baseline"/>
        <w:rPr>
          <w:b/>
          <w:color w:val="000000"/>
          <w:spacing w:val="-5"/>
          <w:sz w:val="36"/>
          <w:lang w:val="de-CH"/>
        </w:rPr>
      </w:pPr>
      <w:r w:rsidRPr="00DA3747">
        <w:rPr>
          <w:b/>
          <w:color w:val="000000"/>
          <w:spacing w:val="-5"/>
          <w:sz w:val="36"/>
          <w:lang w:val="de-CH"/>
        </w:rPr>
        <w:lastRenderedPageBreak/>
        <w:t>*******************</w:t>
      </w:r>
    </w:p>
    <w:p w14:paraId="19F29C60" w14:textId="77777777" w:rsidR="00BD27DB" w:rsidRPr="00DA3747" w:rsidRDefault="00BD27DB" w:rsidP="00BD27DB">
      <w:pPr>
        <w:textAlignment w:val="baseline"/>
        <w:rPr>
          <w:b/>
          <w:color w:val="000000"/>
          <w:spacing w:val="-5"/>
          <w:sz w:val="36"/>
          <w:lang w:val="de-CH"/>
        </w:rPr>
      </w:pPr>
      <w:r w:rsidRPr="00DA3747">
        <w:rPr>
          <w:b/>
          <w:color w:val="000000"/>
          <w:spacing w:val="-5"/>
          <w:sz w:val="36"/>
          <w:lang w:val="de-CH"/>
        </w:rPr>
        <w:t>Zusatzvereinbarung</w:t>
      </w:r>
      <w:r w:rsidRPr="00DA3747">
        <w:rPr>
          <w:b/>
          <w:color w:val="000000" w:themeColor="text1"/>
          <w:sz w:val="36"/>
          <w:lang w:val="de-CH"/>
        </w:rPr>
        <w:t xml:space="preserve"> betreffend gebundenes Vermögen </w:t>
      </w:r>
      <w:r w:rsidRPr="00123094">
        <w:rPr>
          <w:rFonts w:eastAsia="Arial"/>
          <w:b/>
          <w:color w:val="000000" w:themeColor="text1"/>
          <w:sz w:val="36"/>
          <w:szCs w:val="36"/>
          <w:lang w:val="de-CH"/>
        </w:rPr>
        <w:t>XY</w:t>
      </w:r>
    </w:p>
    <w:p w14:paraId="0B65CB0C" w14:textId="27BE70C1" w:rsidR="00BD27DB" w:rsidRPr="00DA3747" w:rsidRDefault="00BD27DB" w:rsidP="00BD27DB">
      <w:pPr>
        <w:spacing w:before="224" w:line="228" w:lineRule="exact"/>
        <w:jc w:val="both"/>
        <w:textAlignment w:val="baseline"/>
        <w:rPr>
          <w:color w:val="000000"/>
          <w:lang w:val="de-CH"/>
        </w:rPr>
      </w:pPr>
      <w:r w:rsidRPr="00DA3747">
        <w:rPr>
          <w:color w:val="000000" w:themeColor="text1"/>
          <w:lang w:val="de-CH"/>
        </w:rPr>
        <w:t xml:space="preserve">Zusatzbestimmungen zu den Geschäftsbeziehungen (Depots/Konti) zwischen Bank X (Depotbank) und Versicherungsunternehmen Y (Deponentin) betreffend die Verwahrung von Werten, die dem </w:t>
      </w:r>
      <w:r>
        <w:rPr>
          <w:rFonts w:eastAsia="Arial"/>
          <w:color w:val="000000" w:themeColor="text1"/>
          <w:szCs w:val="20"/>
          <w:lang w:val="de-CH"/>
        </w:rPr>
        <w:t>«</w:t>
      </w:r>
      <w:r w:rsidRPr="00123094">
        <w:rPr>
          <w:rFonts w:eastAsia="Arial"/>
          <w:color w:val="000000" w:themeColor="text1"/>
          <w:szCs w:val="20"/>
          <w:lang w:val="de-CH"/>
        </w:rPr>
        <w:t>gebundenen</w:t>
      </w:r>
      <w:r w:rsidRPr="00DA3747">
        <w:rPr>
          <w:color w:val="000000" w:themeColor="text1"/>
          <w:lang w:val="de-CH"/>
        </w:rPr>
        <w:t xml:space="preserve"> Vermögen XY</w:t>
      </w:r>
      <w:r>
        <w:rPr>
          <w:rFonts w:eastAsia="Arial"/>
          <w:color w:val="000000" w:themeColor="text1"/>
          <w:szCs w:val="20"/>
          <w:lang w:val="de-CH"/>
        </w:rPr>
        <w:t>»</w:t>
      </w:r>
      <w:r w:rsidRPr="00DA3747">
        <w:rPr>
          <w:color w:val="000000" w:themeColor="text1"/>
          <w:lang w:val="de-CH"/>
        </w:rPr>
        <w:t xml:space="preserve"> der Deponentin angehören.</w:t>
      </w:r>
    </w:p>
    <w:p w14:paraId="5B2B395D" w14:textId="77777777" w:rsidR="00BD27DB" w:rsidRPr="00DA3747" w:rsidRDefault="00BD27DB" w:rsidP="00BD27DB">
      <w:pPr>
        <w:numPr>
          <w:ilvl w:val="0"/>
          <w:numId w:val="1"/>
        </w:numPr>
        <w:spacing w:before="232" w:after="0" w:line="230" w:lineRule="exact"/>
        <w:jc w:val="both"/>
        <w:textAlignment w:val="baseline"/>
        <w:rPr>
          <w:color w:val="000000"/>
          <w:szCs w:val="20"/>
          <w:lang w:val="de-CH"/>
        </w:rPr>
      </w:pPr>
      <w:r w:rsidRPr="1EBDEEE8">
        <w:rPr>
          <w:color w:val="000000" w:themeColor="text1"/>
          <w:szCs w:val="20"/>
          <w:lang w:val="de-CH"/>
        </w:rPr>
        <w:t>Für obgenannte Geschäftsbeziehungen gilt ergänzend die vorliegende Vereinbarung</w:t>
      </w:r>
      <w:r w:rsidRPr="1EBDEEE8">
        <w:rPr>
          <w:rFonts w:eastAsia="Arial"/>
          <w:color w:val="000000" w:themeColor="text1"/>
          <w:szCs w:val="20"/>
          <w:lang w:val="de-CH"/>
        </w:rPr>
        <w:t>.</w:t>
      </w:r>
      <w:r w:rsidRPr="1EBDEEE8">
        <w:rPr>
          <w:color w:val="000000" w:themeColor="text1"/>
          <w:szCs w:val="20"/>
          <w:lang w:val="de-CH"/>
        </w:rPr>
        <w:t xml:space="preserve"> Allfällige davon abweichende Bestimmungen in Verträgen zwischen den Parteien gehen dieser Vereinbarung vor, sofern diese vorteilhafter für die Deponentin sind</w:t>
      </w:r>
      <w:r w:rsidRPr="1EBDEEE8">
        <w:rPr>
          <w:rFonts w:eastAsia="Arial"/>
          <w:color w:val="000000" w:themeColor="text1"/>
          <w:szCs w:val="20"/>
          <w:lang w:val="de-CH"/>
        </w:rPr>
        <w:t xml:space="preserve">. </w:t>
      </w:r>
    </w:p>
    <w:p w14:paraId="244492DB" w14:textId="77777777" w:rsidR="00BD27DB" w:rsidRPr="00DA3747" w:rsidRDefault="00BD27DB" w:rsidP="00BD27DB">
      <w:pPr>
        <w:numPr>
          <w:ilvl w:val="0"/>
          <w:numId w:val="1"/>
        </w:numPr>
        <w:spacing w:before="232" w:after="0" w:line="230" w:lineRule="exact"/>
        <w:jc w:val="both"/>
        <w:textAlignment w:val="baseline"/>
        <w:rPr>
          <w:color w:val="000000"/>
          <w:lang w:val="de-CH"/>
        </w:rPr>
      </w:pPr>
      <w:r w:rsidRPr="00DA3747">
        <w:rPr>
          <w:color w:val="000000" w:themeColor="text1"/>
          <w:lang w:val="de-CH"/>
        </w:rPr>
        <w:t xml:space="preserve">Die Werte des gebundenen Vermögens können von der Depotbank selbst </w:t>
      </w:r>
      <w:r w:rsidRPr="00123094">
        <w:rPr>
          <w:rFonts w:cs="Arial"/>
          <w:szCs w:val="20"/>
          <w:lang w:val="de-CH"/>
        </w:rPr>
        <w:t xml:space="preserve">oder, soweit </w:t>
      </w:r>
      <w:r>
        <w:rPr>
          <w:rFonts w:cs="Arial"/>
          <w:szCs w:val="20"/>
          <w:lang w:val="de-CH"/>
        </w:rPr>
        <w:t>befugt</w:t>
      </w:r>
      <w:r w:rsidRPr="00123094">
        <w:rPr>
          <w:rFonts w:cs="Arial"/>
          <w:szCs w:val="20"/>
          <w:lang w:val="de-CH"/>
        </w:rPr>
        <w:t>, bei einer Drittverwahrungsstelle ihrer Wahl in der Schweiz oder im Ausland</w:t>
      </w:r>
      <w:r w:rsidRPr="00DA3747">
        <w:rPr>
          <w:color w:val="000000" w:themeColor="text1"/>
          <w:lang w:val="de-CH"/>
        </w:rPr>
        <w:t xml:space="preserve"> einzeln oder in Sammelverwahrung verwahrt bzw. verbucht werden.</w:t>
      </w:r>
    </w:p>
    <w:p w14:paraId="75C2AEE0" w14:textId="77777777" w:rsidR="00BD27DB" w:rsidRPr="00123094" w:rsidRDefault="00BD27DB" w:rsidP="00BD27DB">
      <w:pPr>
        <w:tabs>
          <w:tab w:val="left" w:pos="576"/>
        </w:tabs>
        <w:spacing w:before="232" w:line="230" w:lineRule="exact"/>
        <w:jc w:val="both"/>
        <w:textAlignment w:val="baseline"/>
        <w:rPr>
          <w:rFonts w:eastAsia="Arial"/>
          <w:color w:val="000000"/>
          <w:szCs w:val="20"/>
          <w:lang w:val="de-CH"/>
        </w:rPr>
      </w:pPr>
      <w:r w:rsidRPr="00123094">
        <w:rPr>
          <w:rFonts w:eastAsia="Arial"/>
          <w:color w:val="000000"/>
          <w:szCs w:val="20"/>
          <w:lang w:val="de-CH"/>
        </w:rPr>
        <w:t>Die</w:t>
      </w:r>
      <w:r w:rsidRPr="00DA3747">
        <w:rPr>
          <w:color w:val="000000"/>
          <w:lang w:val="de-CH"/>
        </w:rPr>
        <w:t xml:space="preserve"> Depotbank besorgt die Verwahrung und Verwaltung der Depotwerte und haftet </w:t>
      </w:r>
      <w:r w:rsidRPr="00123094">
        <w:rPr>
          <w:rFonts w:eastAsia="Arial"/>
          <w:color w:val="000000"/>
          <w:szCs w:val="20"/>
          <w:lang w:val="de-CH"/>
        </w:rPr>
        <w:t xml:space="preserve">mindestens für die geschäftsübliche Sorgfalt </w:t>
      </w:r>
      <w:r w:rsidRPr="00DA3747">
        <w:rPr>
          <w:color w:val="000000"/>
          <w:lang w:val="de-CH"/>
        </w:rPr>
        <w:t xml:space="preserve">gemäss den einschlägigen </w:t>
      </w:r>
      <w:r w:rsidRPr="00123094">
        <w:rPr>
          <w:rFonts w:eastAsia="Arial"/>
          <w:color w:val="000000"/>
          <w:szCs w:val="20"/>
          <w:lang w:val="de-CH"/>
        </w:rPr>
        <w:t>Bestimmungen</w:t>
      </w:r>
      <w:r w:rsidRPr="00DA3747">
        <w:rPr>
          <w:color w:val="000000"/>
          <w:lang w:val="de-CH"/>
        </w:rPr>
        <w:t xml:space="preserve"> schweizerischen Rechts</w:t>
      </w:r>
      <w:r w:rsidRPr="00123094">
        <w:rPr>
          <w:rFonts w:eastAsia="Arial"/>
          <w:color w:val="000000"/>
          <w:szCs w:val="20"/>
          <w:lang w:val="de-CH"/>
        </w:rPr>
        <w:t xml:space="preserve">. </w:t>
      </w:r>
    </w:p>
    <w:p w14:paraId="48BBC6FA" w14:textId="77777777" w:rsidR="00BD27DB" w:rsidRDefault="00BD27DB" w:rsidP="00BD27DB">
      <w:pPr>
        <w:tabs>
          <w:tab w:val="left" w:pos="576"/>
        </w:tabs>
        <w:spacing w:before="232" w:line="230" w:lineRule="exact"/>
        <w:jc w:val="both"/>
        <w:textAlignment w:val="baseline"/>
        <w:rPr>
          <w:rFonts w:eastAsia="Arial"/>
          <w:color w:val="000000"/>
          <w:szCs w:val="20"/>
          <w:lang w:val="de-CH"/>
        </w:rPr>
      </w:pPr>
      <w:r w:rsidRPr="00DA3747">
        <w:rPr>
          <w:color w:val="000000"/>
          <w:lang w:val="de-CH"/>
        </w:rPr>
        <w:t>Lässt die Depotbank die Depotwerte bei einer Drittverwahrungsstelle verwahren, so haftet sie</w:t>
      </w:r>
      <w:r w:rsidRPr="00123094">
        <w:rPr>
          <w:rFonts w:eastAsia="Arial"/>
          <w:color w:val="000000"/>
          <w:szCs w:val="20"/>
          <w:lang w:val="de-CH"/>
        </w:rPr>
        <w:t xml:space="preserve"> mindestens</w:t>
      </w:r>
      <w:r w:rsidRPr="00DA3747">
        <w:rPr>
          <w:color w:val="000000"/>
          <w:lang w:val="de-CH"/>
        </w:rPr>
        <w:t xml:space="preserve"> für die geschäftsübliche Sorgfalt bei der Wahl und Instruktion der Drittverwahrungsstelle sowie bei der Überwachung der dauernden Einhaltung der Auswahlkriterien</w:t>
      </w:r>
      <w:r w:rsidRPr="00123094">
        <w:rPr>
          <w:rFonts w:eastAsia="Arial"/>
          <w:color w:val="000000"/>
          <w:szCs w:val="20"/>
          <w:lang w:val="de-CH"/>
        </w:rPr>
        <w:t>.</w:t>
      </w:r>
    </w:p>
    <w:p w14:paraId="66CD4B8C" w14:textId="77777777" w:rsidR="00BD27DB" w:rsidRPr="00DA3747" w:rsidRDefault="00BD27DB" w:rsidP="00BD27DB">
      <w:pPr>
        <w:tabs>
          <w:tab w:val="left" w:pos="576"/>
        </w:tabs>
        <w:spacing w:before="232" w:line="230" w:lineRule="exact"/>
        <w:jc w:val="both"/>
        <w:textAlignment w:val="baseline"/>
        <w:rPr>
          <w:color w:val="000000"/>
          <w:lang w:val="de-CH"/>
        </w:rPr>
      </w:pPr>
      <w:r>
        <w:rPr>
          <w:rFonts w:eastAsia="Arial"/>
          <w:color w:val="000000"/>
          <w:szCs w:val="20"/>
          <w:lang w:val="de-CH"/>
        </w:rPr>
        <w:t xml:space="preserve">Von der vorliegenden Vereinbarung abweichende </w:t>
      </w:r>
      <w:r>
        <w:rPr>
          <w:rFonts w:eastAsia="Arial"/>
          <w:color w:val="000000"/>
        </w:rPr>
        <w:t>h</w:t>
      </w:r>
      <w:r w:rsidRPr="00BC23B9">
        <w:rPr>
          <w:rFonts w:eastAsia="Arial"/>
          <w:color w:val="000000"/>
        </w:rPr>
        <w:t xml:space="preserve">aftungsmindernde vertragliche Abreden zu Lasten der Deponentin, insbesondere solche in allgemeinen Geschäftsbedingungen der Depotbank, sind in jedem Fall </w:t>
      </w:r>
      <w:r>
        <w:rPr>
          <w:rFonts w:eastAsia="Arial"/>
          <w:color w:val="000000"/>
        </w:rPr>
        <w:t>nichtig.</w:t>
      </w:r>
    </w:p>
    <w:p w14:paraId="6CD814D2" w14:textId="77777777" w:rsidR="00BD27DB" w:rsidRPr="00123094" w:rsidRDefault="00BD27DB" w:rsidP="00BD27DB">
      <w:pPr>
        <w:tabs>
          <w:tab w:val="left" w:pos="576"/>
        </w:tabs>
        <w:spacing w:before="232" w:line="230" w:lineRule="exact"/>
        <w:jc w:val="both"/>
        <w:textAlignment w:val="baseline"/>
        <w:rPr>
          <w:rFonts w:eastAsia="Arial"/>
          <w:color w:val="000000"/>
          <w:szCs w:val="20"/>
          <w:lang w:val="de-CH"/>
        </w:rPr>
      </w:pPr>
      <w:r w:rsidRPr="001353D7">
        <w:rPr>
          <w:rFonts w:eastAsia="Arial"/>
          <w:color w:val="000000" w:themeColor="text1"/>
          <w:szCs w:val="20"/>
          <w:lang w:val="de-CH"/>
        </w:rPr>
        <w:t>Sollte sich aus anwendbaren Rechtsnormen oder</w:t>
      </w:r>
      <w:r w:rsidRPr="00A41E21">
        <w:rPr>
          <w:rFonts w:eastAsia="Arial"/>
          <w:color w:val="000000" w:themeColor="text1"/>
          <w:szCs w:val="20"/>
          <w:lang w:val="de-CH"/>
        </w:rPr>
        <w:t xml:space="preserve"> </w:t>
      </w:r>
      <w:r w:rsidRPr="001353D7">
        <w:rPr>
          <w:rFonts w:eastAsia="Arial"/>
          <w:color w:val="000000" w:themeColor="text1"/>
          <w:szCs w:val="20"/>
          <w:lang w:val="de-CH"/>
        </w:rPr>
        <w:t>aus</w:t>
      </w:r>
      <w:r w:rsidRPr="00A41E21">
        <w:rPr>
          <w:rFonts w:eastAsia="Arial"/>
          <w:color w:val="000000" w:themeColor="text1"/>
          <w:szCs w:val="20"/>
          <w:lang w:val="de-CH"/>
        </w:rPr>
        <w:t xml:space="preserve"> </w:t>
      </w:r>
      <w:r w:rsidRPr="001353D7">
        <w:rPr>
          <w:rFonts w:eastAsia="Arial"/>
          <w:color w:val="000000" w:themeColor="text1"/>
          <w:szCs w:val="20"/>
          <w:lang w:val="de-CH"/>
        </w:rPr>
        <w:t>sonstigen vertraglichen Abreden eine für die Deponentin vorteilhaftere Haftung der Depotbank ergeben, so gehen diese vorteilhafteren Rechtsnormen bzw. Abreden in jedem Fall vor.</w:t>
      </w:r>
    </w:p>
    <w:p w14:paraId="38A3A9C3" w14:textId="77777777" w:rsidR="00BD27DB" w:rsidRPr="00DA3747" w:rsidRDefault="00BD27DB" w:rsidP="00BD27DB">
      <w:pPr>
        <w:numPr>
          <w:ilvl w:val="0"/>
          <w:numId w:val="1"/>
        </w:numPr>
        <w:spacing w:before="231" w:after="0" w:line="230" w:lineRule="exact"/>
        <w:jc w:val="both"/>
        <w:textAlignment w:val="baseline"/>
        <w:rPr>
          <w:color w:val="000000"/>
          <w:lang w:val="de-CH"/>
        </w:rPr>
      </w:pPr>
      <w:r w:rsidRPr="6D9EF80E">
        <w:rPr>
          <w:color w:val="000000" w:themeColor="text1"/>
          <w:szCs w:val="20"/>
          <w:lang w:val="de-CH"/>
        </w:rPr>
        <w:t xml:space="preserve">Die Depotbank kennzeichnet die bei ihr geführten Depots bzw. Konten mit Werten des jeweiligen gebundenen Vermögens mit der Rubrik </w:t>
      </w:r>
      <w:r w:rsidRPr="6D9EF80E">
        <w:rPr>
          <w:rFonts w:eastAsia="Arial"/>
          <w:color w:val="000000" w:themeColor="text1"/>
          <w:szCs w:val="20"/>
          <w:lang w:val="de-CH"/>
        </w:rPr>
        <w:t>«</w:t>
      </w:r>
      <w:r w:rsidRPr="6D9EF80E">
        <w:rPr>
          <w:color w:val="000000" w:themeColor="text1"/>
          <w:szCs w:val="20"/>
          <w:lang w:val="de-CH"/>
        </w:rPr>
        <w:t>gebundenes Vermögen XY</w:t>
      </w:r>
      <w:r w:rsidRPr="6D9EF80E">
        <w:rPr>
          <w:rFonts w:eastAsia="Arial"/>
          <w:color w:val="000000" w:themeColor="text1"/>
          <w:szCs w:val="20"/>
          <w:lang w:val="de-CH"/>
        </w:rPr>
        <w:t>»</w:t>
      </w:r>
      <w:r w:rsidRPr="6D9EF80E">
        <w:rPr>
          <w:color w:val="000000" w:themeColor="text1"/>
          <w:szCs w:val="20"/>
          <w:lang w:val="de-CH"/>
        </w:rPr>
        <w:t xml:space="preserve"> und führt pro gebundenes Vermögen ein Verzeichnis dieser Werte.</w:t>
      </w:r>
    </w:p>
    <w:p w14:paraId="79B45FD9" w14:textId="77777777" w:rsidR="00BD27DB" w:rsidRPr="00DA3747" w:rsidRDefault="00BD27DB" w:rsidP="00BD27DB">
      <w:pPr>
        <w:spacing w:before="231" w:line="230" w:lineRule="exact"/>
        <w:jc w:val="both"/>
        <w:textAlignment w:val="baseline"/>
        <w:rPr>
          <w:color w:val="000000"/>
          <w:lang w:val="de-CH"/>
        </w:rPr>
      </w:pPr>
      <w:r w:rsidRPr="00DA3747">
        <w:rPr>
          <w:color w:val="000000"/>
          <w:lang w:val="de-CH"/>
        </w:rPr>
        <w:t>Die Deponentin sorgt dafür, dass sich ausschliesslich Werte des gebundenen Vermögens in sol</w:t>
      </w:r>
      <w:r w:rsidRPr="00DA3747">
        <w:rPr>
          <w:color w:val="000000"/>
          <w:lang w:val="de-CH"/>
        </w:rPr>
        <w:softHyphen/>
        <w:t>chen Depots bzw. Konten befinden.</w:t>
      </w:r>
    </w:p>
    <w:p w14:paraId="17CE0903" w14:textId="77777777" w:rsidR="00BD27DB" w:rsidRPr="00DA3747" w:rsidRDefault="00BD27DB" w:rsidP="00BD27DB">
      <w:pPr>
        <w:numPr>
          <w:ilvl w:val="0"/>
          <w:numId w:val="1"/>
        </w:numPr>
        <w:spacing w:before="236" w:after="0" w:line="229" w:lineRule="exact"/>
        <w:jc w:val="both"/>
        <w:textAlignment w:val="baseline"/>
        <w:rPr>
          <w:color w:val="000000"/>
          <w:lang w:val="de-CH"/>
        </w:rPr>
      </w:pPr>
      <w:r w:rsidRPr="00DA3747">
        <w:rPr>
          <w:color w:val="000000" w:themeColor="text1"/>
          <w:lang w:val="de-CH"/>
        </w:rPr>
        <w:t xml:space="preserve">Die Depotbank nimmt zur Kenntnis, dass die nach Ziffer </w:t>
      </w:r>
      <w:r w:rsidRPr="00123094">
        <w:rPr>
          <w:rFonts w:eastAsia="Arial"/>
          <w:color w:val="000000" w:themeColor="text1"/>
          <w:szCs w:val="20"/>
          <w:lang w:val="de-CH"/>
        </w:rPr>
        <w:t>3</w:t>
      </w:r>
      <w:r w:rsidRPr="00DA3747">
        <w:rPr>
          <w:color w:val="000000" w:themeColor="text1"/>
          <w:lang w:val="de-CH"/>
        </w:rPr>
        <w:t xml:space="preserve"> verwahrten bzw. verbuchten Werte zur Sicherung der Ansprüche der Versicherungsnehmer der Deponentin bestimmt sind und erklärt daher ausdrücklich, keine Pfand-, Zurückbehaltungs-, Verrechnungs- und ähnliche Rechte daran geltend zu machen</w:t>
      </w:r>
      <w:r w:rsidRPr="00123094">
        <w:rPr>
          <w:rFonts w:eastAsia="Arial"/>
          <w:color w:val="000000" w:themeColor="text1"/>
          <w:szCs w:val="20"/>
          <w:lang w:val="de-CH"/>
        </w:rPr>
        <w:t xml:space="preserve"> und verzichtet ausdrücklich auf solche Rechte</w:t>
      </w:r>
      <w:r w:rsidRPr="00DA3747">
        <w:rPr>
          <w:color w:val="000000" w:themeColor="text1"/>
          <w:lang w:val="de-CH"/>
        </w:rPr>
        <w:t>, selbst wenn die Deponentin nach Übergabe der Werte oder Zuweisung an das gebundene Vermögen zahlungsunfähig wird. Vorbehalten bleibt</w:t>
      </w:r>
      <w:r w:rsidRPr="00910295">
        <w:rPr>
          <w:color w:val="000000"/>
          <w:lang w:val="de-CH"/>
        </w:rPr>
        <w:t xml:space="preserve"> </w:t>
      </w:r>
      <w:r>
        <w:rPr>
          <w:color w:val="000000"/>
          <w:lang w:val="de-CH"/>
        </w:rPr>
        <w:t>d</w:t>
      </w:r>
      <w:r w:rsidRPr="00DA3747">
        <w:rPr>
          <w:color w:val="000000"/>
          <w:lang w:val="de-CH"/>
        </w:rPr>
        <w:t xml:space="preserve">ie Verrechnung (Netting) von Derivatgeschäften unter einem Rahmenvertrag i.S.v. Art. 91 Abs. </w:t>
      </w:r>
      <w:r w:rsidRPr="00997C85">
        <w:rPr>
          <w:rFonts w:eastAsia="Arial"/>
          <w:color w:val="000000"/>
          <w:lang w:val="de-CH"/>
        </w:rPr>
        <w:t>3 AVO.</w:t>
      </w:r>
      <w:r w:rsidRPr="00DA3747">
        <w:rPr>
          <w:color w:val="000000" w:themeColor="text1"/>
          <w:lang w:val="de-CH"/>
        </w:rPr>
        <w:t xml:space="preserve"> </w:t>
      </w:r>
    </w:p>
    <w:p w14:paraId="563C7142" w14:textId="77777777" w:rsidR="00BD27DB" w:rsidRPr="00B1407C" w:rsidRDefault="00BD27DB" w:rsidP="00BD27DB">
      <w:pPr>
        <w:tabs>
          <w:tab w:val="left" w:pos="576"/>
        </w:tabs>
        <w:spacing w:before="236" w:line="229" w:lineRule="exact"/>
        <w:jc w:val="both"/>
        <w:textAlignment w:val="baseline"/>
        <w:rPr>
          <w:color w:val="000000"/>
          <w:lang w:val="de-CH"/>
        </w:rPr>
      </w:pPr>
      <w:r w:rsidRPr="00B1407C">
        <w:rPr>
          <w:color w:val="000000" w:themeColor="text1"/>
          <w:lang w:val="de-CH"/>
        </w:rPr>
        <w:t xml:space="preserve">Die Belastung von Kosten, Gebühren, Kommissionen usw. aus operationellen Gründen basierend auf einer Abbuchungsermächtigung im normalen Geschäftsbetrieb </w:t>
      </w:r>
      <w:r w:rsidRPr="00B1407C">
        <w:rPr>
          <w:rFonts w:eastAsia="Arial"/>
          <w:color w:val="000000" w:themeColor="text1"/>
          <w:szCs w:val="20"/>
          <w:lang w:val="de-CH"/>
        </w:rPr>
        <w:t>ist</w:t>
      </w:r>
      <w:r w:rsidRPr="00B1407C">
        <w:rPr>
          <w:color w:val="000000" w:themeColor="text1"/>
          <w:lang w:val="de-CH"/>
        </w:rPr>
        <w:t xml:space="preserve"> zulässig</w:t>
      </w:r>
      <w:r>
        <w:rPr>
          <w:color w:val="000000" w:themeColor="text1"/>
          <w:lang w:val="de-CH"/>
        </w:rPr>
        <w:t>. Diese Ermächtigung fällt</w:t>
      </w:r>
      <w:r w:rsidRPr="00B1407C">
        <w:rPr>
          <w:rFonts w:eastAsia="Arial"/>
          <w:color w:val="000000" w:themeColor="text1"/>
          <w:szCs w:val="20"/>
          <w:lang w:val="de-CH"/>
        </w:rPr>
        <w:t xml:space="preserve"> in den folgenden Fällen</w:t>
      </w:r>
      <w:r>
        <w:rPr>
          <w:rFonts w:eastAsia="Arial"/>
          <w:color w:val="000000" w:themeColor="text1"/>
          <w:szCs w:val="20"/>
          <w:lang w:val="de-CH"/>
        </w:rPr>
        <w:t xml:space="preserve"> dahin</w:t>
      </w:r>
      <w:r w:rsidRPr="00B1407C">
        <w:rPr>
          <w:rFonts w:eastAsia="Arial"/>
          <w:color w:val="000000" w:themeColor="text1"/>
          <w:szCs w:val="20"/>
          <w:lang w:val="de-CH"/>
        </w:rPr>
        <w:t>:</w:t>
      </w:r>
    </w:p>
    <w:p w14:paraId="67D1E184" w14:textId="77777777" w:rsidR="00BD27DB" w:rsidRPr="00997C85" w:rsidRDefault="00BD27DB" w:rsidP="00BD27DB">
      <w:pPr>
        <w:pStyle w:val="Listenabsatz"/>
        <w:numPr>
          <w:ilvl w:val="0"/>
          <w:numId w:val="2"/>
        </w:numPr>
        <w:tabs>
          <w:tab w:val="left" w:pos="576"/>
        </w:tabs>
        <w:spacing w:before="236" w:line="229" w:lineRule="exact"/>
        <w:jc w:val="both"/>
        <w:textAlignment w:val="baseline"/>
        <w:rPr>
          <w:rFonts w:eastAsia="Arial"/>
          <w:color w:val="000000"/>
          <w:szCs w:val="20"/>
          <w:lang w:val="de-CH"/>
        </w:rPr>
      </w:pPr>
      <w:r>
        <w:rPr>
          <w:rFonts w:eastAsia="Arial"/>
          <w:color w:val="000000" w:themeColor="text1"/>
          <w:szCs w:val="20"/>
          <w:lang w:val="de-CH"/>
        </w:rPr>
        <w:t>bei</w:t>
      </w:r>
      <w:r w:rsidRPr="00997C85">
        <w:rPr>
          <w:rFonts w:eastAsia="Arial"/>
          <w:color w:val="000000" w:themeColor="text1"/>
          <w:szCs w:val="20"/>
          <w:lang w:val="de-CH"/>
        </w:rPr>
        <w:t xml:space="preserve"> Widerruf durch die Deponentin;</w:t>
      </w:r>
    </w:p>
    <w:p w14:paraId="79C57E69" w14:textId="77777777" w:rsidR="00BD27DB" w:rsidRPr="00997C85" w:rsidRDefault="00BD27DB" w:rsidP="00BD27DB">
      <w:pPr>
        <w:pStyle w:val="Listenabsatz"/>
        <w:numPr>
          <w:ilvl w:val="0"/>
          <w:numId w:val="2"/>
        </w:numPr>
        <w:tabs>
          <w:tab w:val="left" w:pos="576"/>
        </w:tabs>
        <w:spacing w:before="236" w:line="229" w:lineRule="exact"/>
        <w:jc w:val="both"/>
        <w:textAlignment w:val="baseline"/>
        <w:rPr>
          <w:rFonts w:eastAsia="Arial"/>
          <w:color w:val="000000" w:themeColor="text1"/>
          <w:szCs w:val="20"/>
          <w:lang w:val="de-CH"/>
        </w:rPr>
      </w:pPr>
      <w:r>
        <w:rPr>
          <w:rFonts w:eastAsia="Arial"/>
          <w:color w:val="000000" w:themeColor="text1"/>
          <w:szCs w:val="20"/>
          <w:lang w:val="de-CH"/>
        </w:rPr>
        <w:t>bei Anordnung von</w:t>
      </w:r>
      <w:r w:rsidRPr="00997C85">
        <w:rPr>
          <w:rFonts w:eastAsia="Arial"/>
          <w:color w:val="000000" w:themeColor="text1"/>
          <w:szCs w:val="20"/>
          <w:lang w:val="de-CH"/>
        </w:rPr>
        <w:t xml:space="preserve"> Massnahmen gemäss </w:t>
      </w:r>
      <w:r w:rsidRPr="00DB5EBB">
        <w:rPr>
          <w:color w:val="000000" w:themeColor="text1"/>
          <w:lang w:val="de-CH"/>
        </w:rPr>
        <w:t>Artikel 51 Absatz 2 Buchstaben a, b, d, e und i</w:t>
      </w:r>
      <w:r w:rsidRPr="00997C85" w:rsidDel="00910295">
        <w:rPr>
          <w:rFonts w:eastAsia="Arial"/>
          <w:color w:val="000000" w:themeColor="text1"/>
          <w:szCs w:val="20"/>
          <w:lang w:val="de-CH"/>
        </w:rPr>
        <w:t xml:space="preserve"> </w:t>
      </w:r>
      <w:r w:rsidRPr="00997C85">
        <w:rPr>
          <w:rFonts w:eastAsia="Arial"/>
          <w:color w:val="000000" w:themeColor="text1"/>
          <w:szCs w:val="20"/>
          <w:lang w:val="de-CH"/>
        </w:rPr>
        <w:t>Versicherungsaufsichtsgesetz (VAG)</w:t>
      </w:r>
      <w:r>
        <w:rPr>
          <w:rFonts w:eastAsia="Arial"/>
          <w:color w:val="000000" w:themeColor="text1"/>
          <w:szCs w:val="20"/>
          <w:lang w:val="de-CH"/>
        </w:rPr>
        <w:t xml:space="preserve"> sowie bei Eröffnung von Sanierungs- und Konkursverfahren</w:t>
      </w:r>
      <w:r w:rsidRPr="00997C85">
        <w:rPr>
          <w:rFonts w:eastAsia="Arial"/>
          <w:color w:val="000000" w:themeColor="text1"/>
          <w:szCs w:val="20"/>
          <w:lang w:val="de-CH"/>
        </w:rPr>
        <w:t>, welche die FINMA publiziert oder der Depotbank mitgeteilt hat. Danach ist die ordentliche Belastung der genannten Kosten nur im Einverständnis mit der FINMA zulässig</w:t>
      </w:r>
      <w:r>
        <w:rPr>
          <w:rFonts w:eastAsia="Arial"/>
          <w:color w:val="000000" w:themeColor="text1"/>
          <w:szCs w:val="20"/>
          <w:lang w:val="de-CH"/>
        </w:rPr>
        <w:t>.</w:t>
      </w:r>
      <w:r w:rsidRPr="00997C85">
        <w:rPr>
          <w:rFonts w:eastAsia="Arial"/>
          <w:color w:val="000000" w:themeColor="text1"/>
          <w:szCs w:val="20"/>
          <w:lang w:val="de-CH"/>
        </w:rPr>
        <w:t xml:space="preserve"> </w:t>
      </w:r>
    </w:p>
    <w:p w14:paraId="288F6CD8" w14:textId="77777777" w:rsidR="00BD27DB" w:rsidRPr="00997C85" w:rsidRDefault="00BD27DB" w:rsidP="00BD27DB">
      <w:pPr>
        <w:pStyle w:val="Listenabsatz"/>
        <w:tabs>
          <w:tab w:val="left" w:pos="576"/>
        </w:tabs>
        <w:spacing w:before="236" w:line="229" w:lineRule="exact"/>
        <w:ind w:left="1656"/>
        <w:jc w:val="both"/>
        <w:textAlignment w:val="baseline"/>
        <w:rPr>
          <w:rFonts w:eastAsia="Arial"/>
          <w:color w:val="000000"/>
          <w:szCs w:val="20"/>
          <w:lang w:val="de-CH"/>
        </w:rPr>
      </w:pPr>
    </w:p>
    <w:p w14:paraId="214F671F" w14:textId="77777777" w:rsidR="00BD27DB" w:rsidRPr="00DA3747" w:rsidRDefault="00BD27DB" w:rsidP="00BD27DB">
      <w:pPr>
        <w:spacing w:before="231" w:line="230" w:lineRule="exact"/>
        <w:jc w:val="both"/>
        <w:textAlignment w:val="baseline"/>
        <w:rPr>
          <w:color w:val="000000"/>
          <w:lang w:val="de-CH"/>
        </w:rPr>
      </w:pPr>
      <w:r w:rsidRPr="00DA3747">
        <w:rPr>
          <w:color w:val="000000"/>
          <w:lang w:val="de-CH"/>
        </w:rPr>
        <w:lastRenderedPageBreak/>
        <w:t>Sollten von dritter Seite (einschliesslich Korrespondenzbanken, Drittverwahrungsstellen) Ansprüche bezüglich der Werte des gebundenen Vermögens geltend gemacht werden, so wird die Depotbank die Deponentin unverzüglich benachrichtigen.</w:t>
      </w:r>
    </w:p>
    <w:p w14:paraId="7E33E321" w14:textId="77777777" w:rsidR="00BD27DB" w:rsidRPr="00DA3747" w:rsidRDefault="00BD27DB" w:rsidP="00BD27DB">
      <w:pPr>
        <w:spacing w:before="233" w:line="228" w:lineRule="exact"/>
        <w:jc w:val="both"/>
        <w:textAlignment w:val="baseline"/>
        <w:rPr>
          <w:color w:val="000000"/>
          <w:lang w:val="de-CH"/>
        </w:rPr>
      </w:pPr>
      <w:r w:rsidRPr="00DA3747">
        <w:rPr>
          <w:color w:val="000000"/>
          <w:lang w:val="de-CH"/>
        </w:rPr>
        <w:t xml:space="preserve">Will die Deponentin in Depots bzw. Konti </w:t>
      </w:r>
      <w:r>
        <w:rPr>
          <w:rFonts w:eastAsia="Arial"/>
          <w:color w:val="000000"/>
          <w:lang w:val="de-CH"/>
        </w:rPr>
        <w:t>«</w:t>
      </w:r>
      <w:r w:rsidRPr="00DA3747">
        <w:rPr>
          <w:color w:val="000000"/>
          <w:lang w:val="de-CH"/>
        </w:rPr>
        <w:t>gebundenes Vermögen</w:t>
      </w:r>
      <w:r>
        <w:rPr>
          <w:rFonts w:eastAsia="Arial"/>
          <w:color w:val="000000"/>
          <w:lang w:val="de-CH"/>
        </w:rPr>
        <w:t>»</w:t>
      </w:r>
      <w:r w:rsidRPr="00DA3747">
        <w:rPr>
          <w:color w:val="000000"/>
          <w:lang w:val="de-CH"/>
        </w:rPr>
        <w:t xml:space="preserve"> Werte einbuchen, an denen schon ein Sicherungsrecht der Depotbank besteht, kann diese die Umbuchung ablehnen</w:t>
      </w:r>
      <w:r>
        <w:rPr>
          <w:color w:val="000000"/>
          <w:lang w:val="de-CH"/>
        </w:rPr>
        <w:t>,</w:t>
      </w:r>
      <w:r>
        <w:rPr>
          <w:rFonts w:eastAsia="Arial"/>
          <w:color w:val="000000"/>
          <w:lang w:val="de-CH"/>
        </w:rPr>
        <w:t xml:space="preserve"> bis</w:t>
      </w:r>
      <w:r w:rsidRPr="00DA3747">
        <w:rPr>
          <w:color w:val="000000"/>
          <w:lang w:val="de-CH"/>
        </w:rPr>
        <w:t xml:space="preserve"> von der </w:t>
      </w:r>
      <w:r w:rsidRPr="00123094">
        <w:rPr>
          <w:rFonts w:eastAsia="Arial"/>
          <w:color w:val="000000"/>
          <w:lang w:val="de-CH"/>
        </w:rPr>
        <w:t>Deponentin</w:t>
      </w:r>
      <w:r w:rsidRPr="00DA3747">
        <w:rPr>
          <w:color w:val="000000"/>
          <w:lang w:val="de-CH"/>
        </w:rPr>
        <w:t xml:space="preserve"> die Bestellung einer Ersatzsicherheit oder die Ablösung der Sicherheit </w:t>
      </w:r>
      <w:r>
        <w:rPr>
          <w:color w:val="000000"/>
          <w:lang w:val="de-CH"/>
        </w:rPr>
        <w:t>erfolgt</w:t>
      </w:r>
      <w:r w:rsidRPr="00DA3747">
        <w:rPr>
          <w:color w:val="000000"/>
          <w:lang w:val="de-CH"/>
        </w:rPr>
        <w:t>.</w:t>
      </w:r>
    </w:p>
    <w:p w14:paraId="279D6525" w14:textId="77777777" w:rsidR="00BD27DB" w:rsidRPr="00DA3747" w:rsidRDefault="00BD27DB" w:rsidP="00BD27DB">
      <w:pPr>
        <w:numPr>
          <w:ilvl w:val="0"/>
          <w:numId w:val="1"/>
        </w:numPr>
        <w:spacing w:before="232" w:after="0" w:line="230" w:lineRule="exact"/>
        <w:jc w:val="both"/>
        <w:textAlignment w:val="baseline"/>
        <w:rPr>
          <w:color w:val="000000"/>
          <w:lang w:val="de-CH"/>
        </w:rPr>
      </w:pPr>
      <w:r w:rsidRPr="00DA3747">
        <w:rPr>
          <w:color w:val="000000" w:themeColor="text1"/>
          <w:lang w:val="de-CH"/>
        </w:rPr>
        <w:t>Die Deponentin ist selbst und ausschliesslich verantwortlich für die Einhaltung regulatorischer Bestimmungen insbesondere über die Mindestgrösse des gebundenen Vermögens, die dafür zulässigen Werte und deren Zusammensetzung.</w:t>
      </w:r>
      <w:r>
        <w:rPr>
          <w:color w:val="000000" w:themeColor="text1"/>
          <w:lang w:val="de-CH"/>
        </w:rPr>
        <w:t xml:space="preserve"> </w:t>
      </w:r>
      <w:r w:rsidRPr="00F4262A">
        <w:rPr>
          <w:rFonts w:eastAsia="Arial"/>
          <w:color w:val="000000"/>
        </w:rPr>
        <w:t>Die Deponentin ermächtigt hiermit die Depotbank, der FINMA im Zusammenhang mit dem gebundenen Vermögen Auskünfte zu erteilen.</w:t>
      </w:r>
    </w:p>
    <w:p w14:paraId="5C3E1588" w14:textId="77777777" w:rsidR="00BD27DB" w:rsidRPr="00123094" w:rsidRDefault="00BD27DB" w:rsidP="00BD27DB">
      <w:pPr>
        <w:numPr>
          <w:ilvl w:val="0"/>
          <w:numId w:val="1"/>
        </w:numPr>
        <w:spacing w:before="232" w:after="0" w:line="230" w:lineRule="exact"/>
        <w:jc w:val="both"/>
        <w:rPr>
          <w:rFonts w:eastAsia="Arial"/>
          <w:color w:val="000000" w:themeColor="text1"/>
          <w:szCs w:val="20"/>
          <w:lang w:val="de-CH"/>
        </w:rPr>
      </w:pPr>
      <w:r w:rsidRPr="1EBDEEE8">
        <w:rPr>
          <w:rFonts w:eastAsia="Arial"/>
          <w:color w:val="000000" w:themeColor="text1"/>
          <w:szCs w:val="20"/>
          <w:lang w:val="de-CH"/>
        </w:rPr>
        <w:t>Diese Zusatzvereinbarung untersteht materiellem Schweizer Recht. Gerichtstand ist (_________), Schweiz.</w:t>
      </w:r>
    </w:p>
    <w:p w14:paraId="54CCDB1F" w14:textId="77777777" w:rsidR="00BD27DB" w:rsidRPr="00DA3747" w:rsidRDefault="00BD27DB" w:rsidP="00BD27DB">
      <w:pPr>
        <w:tabs>
          <w:tab w:val="left" w:pos="3024"/>
          <w:tab w:val="left" w:pos="6552"/>
        </w:tabs>
        <w:spacing w:before="231" w:line="224" w:lineRule="exact"/>
        <w:ind w:left="144"/>
        <w:textAlignment w:val="baseline"/>
        <w:rPr>
          <w:color w:val="000000"/>
          <w:lang w:val="de-CH"/>
        </w:rPr>
      </w:pPr>
      <w:r w:rsidRPr="00DA3747">
        <w:rPr>
          <w:color w:val="000000"/>
          <w:lang w:val="de-CH"/>
        </w:rPr>
        <w:t>Ort/Datum</w:t>
      </w:r>
      <w:r w:rsidRPr="00DA3747">
        <w:rPr>
          <w:color w:val="000000"/>
          <w:lang w:val="de-CH"/>
        </w:rPr>
        <w:tab/>
        <w:t>Unterschrift</w:t>
      </w:r>
      <w:r w:rsidRPr="00DA3747">
        <w:rPr>
          <w:color w:val="000000"/>
          <w:lang w:val="de-CH"/>
        </w:rPr>
        <w:tab/>
      </w:r>
      <w:proofErr w:type="spellStart"/>
      <w:r w:rsidRPr="00DA3747">
        <w:rPr>
          <w:color w:val="000000"/>
          <w:lang w:val="de-CH"/>
        </w:rPr>
        <w:t>Unterschrift</w:t>
      </w:r>
      <w:proofErr w:type="spellEnd"/>
    </w:p>
    <w:p w14:paraId="51FF107F" w14:textId="77777777" w:rsidR="00BD27DB" w:rsidRPr="00DA3747" w:rsidRDefault="00BD27DB" w:rsidP="00BD27DB">
      <w:pPr>
        <w:tabs>
          <w:tab w:val="left" w:pos="6552"/>
        </w:tabs>
        <w:spacing w:before="8" w:after="240" w:line="224" w:lineRule="exact"/>
        <w:ind w:left="2952"/>
        <w:textAlignment w:val="baseline"/>
        <w:rPr>
          <w:color w:val="000000"/>
          <w:lang w:val="de-CH"/>
        </w:rPr>
      </w:pPr>
      <w:r>
        <w:rPr>
          <w:rFonts w:eastAsia="Arial"/>
          <w:color w:val="000000"/>
          <w:lang w:val="de-CH"/>
        </w:rPr>
        <w:t xml:space="preserve"> </w:t>
      </w:r>
      <w:r w:rsidRPr="00DA3747">
        <w:rPr>
          <w:color w:val="000000"/>
          <w:lang w:val="de-CH"/>
        </w:rPr>
        <w:t>Versicherungsunternehmen</w:t>
      </w:r>
      <w:r w:rsidRPr="00DA3747">
        <w:rPr>
          <w:color w:val="000000"/>
          <w:lang w:val="de-CH"/>
        </w:rPr>
        <w:tab/>
        <w:t>Depotbank</w:t>
      </w:r>
    </w:p>
    <w:p w14:paraId="4128C8FB" w14:textId="77777777" w:rsidR="00BD27DB" w:rsidRPr="00123094" w:rsidRDefault="00BD27DB" w:rsidP="00BD27DB">
      <w:pPr>
        <w:spacing w:after="208" w:line="202" w:lineRule="exact"/>
        <w:textAlignment w:val="baseline"/>
        <w:rPr>
          <w:rFonts w:eastAsia="Arial"/>
          <w:color w:val="000000" w:themeColor="text1"/>
          <w:sz w:val="16"/>
          <w:szCs w:val="16"/>
          <w:lang w:val="de-CH"/>
        </w:rPr>
      </w:pPr>
    </w:p>
    <w:p w14:paraId="54B30DCA" w14:textId="77777777" w:rsidR="00BD27DB" w:rsidRPr="00123094" w:rsidRDefault="00BD27DB" w:rsidP="00BD27DB">
      <w:pPr>
        <w:spacing w:after="208" w:line="202" w:lineRule="exact"/>
        <w:textAlignment w:val="baseline"/>
        <w:rPr>
          <w:rFonts w:eastAsia="Arial"/>
          <w:color w:val="000000"/>
          <w:sz w:val="12"/>
          <w:szCs w:val="12"/>
          <w:lang w:val="de-CH"/>
        </w:rPr>
      </w:pPr>
    </w:p>
    <w:p w14:paraId="7424D898" w14:textId="77777777" w:rsidR="00BD27DB" w:rsidRPr="00DA3747" w:rsidRDefault="00BD27DB" w:rsidP="00BD27DB">
      <w:pPr>
        <w:spacing w:before="43" w:line="412" w:lineRule="exact"/>
        <w:jc w:val="center"/>
        <w:textAlignment w:val="baseline"/>
        <w:rPr>
          <w:b/>
          <w:color w:val="000000"/>
          <w:spacing w:val="-5"/>
          <w:sz w:val="36"/>
          <w:lang w:val="de-CH"/>
        </w:rPr>
      </w:pPr>
      <w:r w:rsidRPr="00DA3747">
        <w:rPr>
          <w:b/>
          <w:color w:val="000000"/>
          <w:spacing w:val="-5"/>
          <w:sz w:val="36"/>
          <w:lang w:val="de-CH"/>
        </w:rPr>
        <w:t>*******************</w:t>
      </w:r>
    </w:p>
    <w:p w14:paraId="41D73A8A" w14:textId="77777777" w:rsidR="00B56FA7" w:rsidRPr="00BD27DB" w:rsidRDefault="00B56FA7" w:rsidP="00BD27DB">
      <w:pPr>
        <w:rPr>
          <w:i/>
          <w:iCs/>
        </w:rPr>
      </w:pPr>
    </w:p>
    <w:sectPr w:rsidR="00B56FA7" w:rsidRPr="00BD27DB" w:rsidSect="00BD27DB">
      <w:footerReference w:type="even" r:id="rId10"/>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50F2B" w14:textId="77777777" w:rsidR="00BD27DB" w:rsidRDefault="00BD27DB" w:rsidP="00BD27DB">
      <w:pPr>
        <w:spacing w:after="0" w:line="240" w:lineRule="auto"/>
      </w:pPr>
      <w:r>
        <w:separator/>
      </w:r>
    </w:p>
  </w:endnote>
  <w:endnote w:type="continuationSeparator" w:id="0">
    <w:p w14:paraId="64CAF7A0" w14:textId="77777777" w:rsidR="00BD27DB" w:rsidRDefault="00BD27DB" w:rsidP="00B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A3E41" w14:textId="7DC7F108" w:rsidR="00BD27DB" w:rsidRDefault="00BD27DB">
    <w:pPr>
      <w:pStyle w:val="Fuzeile"/>
    </w:pPr>
    <w:r>
      <w:t xml:space="preserve">Zusatzvereinbarung betreffend gebundenes </w:t>
    </w:r>
    <w:proofErr w:type="gramStart"/>
    <w:r>
      <w:t>Vermögen</w:t>
    </w:r>
    <w:proofErr w:type="gramEnd"/>
    <w:r>
      <w:tab/>
      <w:t>Seite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51E9" w14:textId="1BEE02F6" w:rsidR="00BD27DB" w:rsidRDefault="00BD27DB">
    <w:pPr>
      <w:pStyle w:val="Fuzeile"/>
    </w:pPr>
    <w:r>
      <w:t xml:space="preserve">Zusatzvereinbarung betreffend gebundenes </w:t>
    </w:r>
    <w:proofErr w:type="gramStart"/>
    <w:r>
      <w:t>Vermögen</w:t>
    </w:r>
    <w:proofErr w:type="gramEnd"/>
    <w:r>
      <w:tab/>
      <w:t>Seite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4706" w14:textId="77777777" w:rsidR="00BD27DB" w:rsidRDefault="00BD27DB" w:rsidP="00BD27DB">
      <w:pPr>
        <w:spacing w:after="0" w:line="240" w:lineRule="auto"/>
      </w:pPr>
      <w:r>
        <w:separator/>
      </w:r>
    </w:p>
  </w:footnote>
  <w:footnote w:type="continuationSeparator" w:id="0">
    <w:p w14:paraId="5DBA2151" w14:textId="77777777" w:rsidR="00BD27DB" w:rsidRDefault="00BD27DB" w:rsidP="00BD2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B4858"/>
    <w:multiLevelType w:val="multilevel"/>
    <w:tmpl w:val="2CCCF674"/>
    <w:lvl w:ilvl="0">
      <w:start w:val="1"/>
      <w:numFmt w:val="decimal"/>
      <w:lvlText w:val="%1."/>
      <w:lvlJc w:val="left"/>
      <w:pPr>
        <w:tabs>
          <w:tab w:val="left" w:pos="576"/>
        </w:tabs>
      </w:pPr>
      <w:rPr>
        <w:rFonts w:ascii="Arial" w:eastAsia="Arial" w:hAnsi="Arial"/>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36915"/>
    <w:multiLevelType w:val="hybridMultilevel"/>
    <w:tmpl w:val="F190DC1A"/>
    <w:lvl w:ilvl="0" w:tplc="08070019">
      <w:start w:val="1"/>
      <w:numFmt w:val="lowerLetter"/>
      <w:lvlText w:val="%1."/>
      <w:lvlJc w:val="left"/>
      <w:pPr>
        <w:ind w:left="1296" w:hanging="720"/>
      </w:pPr>
      <w:rPr>
        <w:rFonts w:hint="default"/>
      </w:rPr>
    </w:lvl>
    <w:lvl w:ilvl="1" w:tplc="FFFFFFFF">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551038215">
    <w:abstractNumId w:val="0"/>
  </w:num>
  <w:num w:numId="2" w16cid:durableId="18613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DB"/>
    <w:rsid w:val="0016624A"/>
    <w:rsid w:val="007C1AD4"/>
    <w:rsid w:val="00886A1C"/>
    <w:rsid w:val="00AC13D8"/>
    <w:rsid w:val="00B56FA7"/>
    <w:rsid w:val="00B66F06"/>
    <w:rsid w:val="00BD27DB"/>
    <w:rsid w:val="00CF72A5"/>
    <w:rsid w:val="00E565B5"/>
    <w:rsid w:val="00F22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9974"/>
  <w15:chartTrackingRefBased/>
  <w15:docId w15:val="{4A370834-D339-4BBE-8DE4-322F2D42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27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27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27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27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27DB"/>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27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27D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D27D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27D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7D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27D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27DB"/>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27DB"/>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27DB"/>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BD27D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27D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D27D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27D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D2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27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27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27D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D27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27DB"/>
    <w:rPr>
      <w:i/>
      <w:iCs/>
      <w:color w:val="404040" w:themeColor="text1" w:themeTint="BF"/>
    </w:rPr>
  </w:style>
  <w:style w:type="paragraph" w:styleId="Listenabsatz">
    <w:name w:val="List Paragraph"/>
    <w:basedOn w:val="Standard"/>
    <w:uiPriority w:val="34"/>
    <w:qFormat/>
    <w:rsid w:val="00BD27DB"/>
    <w:pPr>
      <w:ind w:left="720"/>
      <w:contextualSpacing/>
    </w:pPr>
  </w:style>
  <w:style w:type="character" w:styleId="IntensiveHervorhebung">
    <w:name w:val="Intense Emphasis"/>
    <w:basedOn w:val="Absatz-Standardschriftart"/>
    <w:uiPriority w:val="21"/>
    <w:qFormat/>
    <w:rsid w:val="00BD27DB"/>
    <w:rPr>
      <w:i/>
      <w:iCs/>
      <w:color w:val="2F5496" w:themeColor="accent1" w:themeShade="BF"/>
    </w:rPr>
  </w:style>
  <w:style w:type="paragraph" w:styleId="IntensivesZitat">
    <w:name w:val="Intense Quote"/>
    <w:basedOn w:val="Standard"/>
    <w:next w:val="Standard"/>
    <w:link w:val="IntensivesZitatZchn"/>
    <w:uiPriority w:val="30"/>
    <w:qFormat/>
    <w:rsid w:val="00BD2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27DB"/>
    <w:rPr>
      <w:i/>
      <w:iCs/>
      <w:color w:val="2F5496" w:themeColor="accent1" w:themeShade="BF"/>
    </w:rPr>
  </w:style>
  <w:style w:type="character" w:styleId="IntensiverVerweis">
    <w:name w:val="Intense Reference"/>
    <w:basedOn w:val="Absatz-Standardschriftart"/>
    <w:uiPriority w:val="32"/>
    <w:qFormat/>
    <w:rsid w:val="00BD27DB"/>
    <w:rPr>
      <w:b/>
      <w:bCs/>
      <w:smallCaps/>
      <w:color w:val="2F5496" w:themeColor="accent1" w:themeShade="BF"/>
      <w:spacing w:val="5"/>
    </w:rPr>
  </w:style>
  <w:style w:type="paragraph" w:styleId="Kopfzeile">
    <w:name w:val="header"/>
    <w:basedOn w:val="Standard"/>
    <w:link w:val="KopfzeileZchn"/>
    <w:uiPriority w:val="99"/>
    <w:unhideWhenUsed/>
    <w:rsid w:val="00BD27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27DB"/>
  </w:style>
  <w:style w:type="paragraph" w:styleId="Fuzeile">
    <w:name w:val="footer"/>
    <w:basedOn w:val="Standard"/>
    <w:link w:val="FuzeileZchn"/>
    <w:uiPriority w:val="99"/>
    <w:unhideWhenUsed/>
    <w:rsid w:val="00BD27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c7cf75-22d7-4526-acf3-27eb28fa3093" xsi:nil="true"/>
    <lcf76f155ced4ddcb4097134ff3c332f xmlns="ed9df683-3669-4e4c-b573-9715aa5634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F8A1E3FA351B4792C0C1CA7B07CA80" ma:contentTypeVersion="14" ma:contentTypeDescription="Ein neues Dokument erstellen." ma:contentTypeScope="" ma:versionID="8c812df1109f36ee15065b582ab699a8">
  <xsd:schema xmlns:xsd="http://www.w3.org/2001/XMLSchema" xmlns:xs="http://www.w3.org/2001/XMLSchema" xmlns:p="http://schemas.microsoft.com/office/2006/metadata/properties" xmlns:ns2="ed9df683-3669-4e4c-b573-9715aa56349f" xmlns:ns3="d7c7cf75-22d7-4526-acf3-27eb28fa3093" targetNamespace="http://schemas.microsoft.com/office/2006/metadata/properties" ma:root="true" ma:fieldsID="4593bda6b607af5194f9e1e3fd52c9f8" ns2:_="" ns3:_="">
    <xsd:import namespace="ed9df683-3669-4e4c-b573-9715aa56349f"/>
    <xsd:import namespace="d7c7cf75-22d7-4526-acf3-27eb28fa3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df683-3669-4e4c-b573-9715aa563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827eaa1-67d3-48c8-b49a-e0f2032f837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cf75-22d7-4526-acf3-27eb28fa309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10c4b4a9-9871-4753-bfb2-dd93e009bb40}" ma:internalName="TaxCatchAll" ma:showField="CatchAllData" ma:web="d7c7cf75-22d7-4526-acf3-27eb28fa3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446B4-2CDB-4FE7-B09E-68F3B314B80B}">
  <ds:schemaRefs>
    <ds:schemaRef ds:uri="http://schemas.microsoft.com/office/2006/metadata/properties"/>
    <ds:schemaRef ds:uri="http://schemas.microsoft.com/office/infopath/2007/PartnerControls"/>
    <ds:schemaRef ds:uri="d7c7cf75-22d7-4526-acf3-27eb28fa3093"/>
    <ds:schemaRef ds:uri="ed9df683-3669-4e4c-b573-9715aa56349f"/>
  </ds:schemaRefs>
</ds:datastoreItem>
</file>

<file path=customXml/itemProps2.xml><?xml version="1.0" encoding="utf-8"?>
<ds:datastoreItem xmlns:ds="http://schemas.openxmlformats.org/officeDocument/2006/customXml" ds:itemID="{59CA5416-831A-4B5A-AC94-0BFEEC88DDEE}">
  <ds:schemaRefs>
    <ds:schemaRef ds:uri="http://schemas.microsoft.com/sharepoint/v3/contenttype/forms"/>
  </ds:schemaRefs>
</ds:datastoreItem>
</file>

<file path=customXml/itemProps3.xml><?xml version="1.0" encoding="utf-8"?>
<ds:datastoreItem xmlns:ds="http://schemas.openxmlformats.org/officeDocument/2006/customXml" ds:itemID="{1AF0E96A-7399-4A1A-97CF-328F26051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df683-3669-4e4c-b573-9715aa56349f"/>
    <ds:schemaRef ds:uri="d7c7cf75-22d7-4526-acf3-27eb28fa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4042</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Schüpbach</dc:creator>
  <cp:keywords/>
  <dc:description/>
  <cp:lastModifiedBy>Jan Schüpbach</cp:lastModifiedBy>
  <cp:revision>6</cp:revision>
  <dcterms:created xsi:type="dcterms:W3CDTF">2024-08-28T06:39:00Z</dcterms:created>
  <dcterms:modified xsi:type="dcterms:W3CDTF">2024-09-10T13:43:00Z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0x01010074F8A1E3FA351B4792C0C1CA7B07CA80</vt:lpwstr>
  </property>
  <property fmtid="{D5CDD505-2E9C-101B-9397-08002B2CF9AE}" pid="3" name="MediaServiceImageTags">
    <vt:lpwstr/>
  </property>
</Properties>
</file>