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3CAF5" w14:textId="1841C232" w:rsidR="00BD27DB" w:rsidRPr="00BD27DB" w:rsidRDefault="00BD27DB" w:rsidP="00BD27DB">
      <w:pPr>
        <w:rPr>
          <w:b/>
          <w:bCs/>
        </w:rPr>
      </w:pPr>
      <w:r>
        <w:rPr>
          <w:b/>
        </w:rPr>
        <w:t xml:space="preserve">Informations importantes concernant la convention </w:t>
      </w:r>
      <w:r w:rsidR="00912AC7">
        <w:rPr>
          <w:b/>
        </w:rPr>
        <w:t xml:space="preserve">complémentaire </w:t>
      </w:r>
      <w:r w:rsidR="00141141">
        <w:rPr>
          <w:b/>
        </w:rPr>
        <w:t>relative à la fortune liée</w:t>
      </w:r>
    </w:p>
    <w:p w14:paraId="7E4E153B" w14:textId="77777777" w:rsidR="00BD27DB" w:rsidRDefault="00BD27DB" w:rsidP="00BD27DB"/>
    <w:p w14:paraId="6568DD40" w14:textId="7EA4848B" w:rsidR="00BD27DB" w:rsidRDefault="00BD27DB" w:rsidP="00BD27DB">
      <w:pPr>
        <w:rPr>
          <w:i/>
          <w:iCs/>
        </w:rPr>
      </w:pPr>
      <w:r>
        <w:rPr>
          <w:i/>
        </w:rPr>
        <w:t>Par application du principe de la personne prudente, il incombe à l</w:t>
      </w:r>
      <w:r w:rsidR="00A6523A">
        <w:rPr>
          <w:i/>
        </w:rPr>
        <w:t>’</w:t>
      </w:r>
      <w:r>
        <w:rPr>
          <w:i/>
        </w:rPr>
        <w:t>entreprise d</w:t>
      </w:r>
      <w:r w:rsidR="00A6523A">
        <w:rPr>
          <w:i/>
        </w:rPr>
        <w:t>’</w:t>
      </w:r>
      <w:r>
        <w:rPr>
          <w:i/>
        </w:rPr>
        <w:t xml:space="preserve">assurance de vérifier si la présente convention </w:t>
      </w:r>
      <w:r w:rsidR="00912AC7">
        <w:rPr>
          <w:i/>
        </w:rPr>
        <w:t xml:space="preserve">complémentaire </w:t>
      </w:r>
      <w:r>
        <w:rPr>
          <w:i/>
        </w:rPr>
        <w:t xml:space="preserve">est appropriée dans </w:t>
      </w:r>
      <w:r w:rsidR="008638D9">
        <w:rPr>
          <w:i/>
        </w:rPr>
        <w:t>chaque</w:t>
      </w:r>
      <w:r>
        <w:rPr>
          <w:i/>
        </w:rPr>
        <w:t xml:space="preserve"> cas d</w:t>
      </w:r>
      <w:r w:rsidR="00A6523A">
        <w:rPr>
          <w:i/>
        </w:rPr>
        <w:t>’</w:t>
      </w:r>
      <w:r>
        <w:rPr>
          <w:i/>
        </w:rPr>
        <w:t xml:space="preserve">espèce, en particulier selon que les </w:t>
      </w:r>
      <w:r w:rsidR="00CF0293">
        <w:rPr>
          <w:i/>
        </w:rPr>
        <w:t>biens</w:t>
      </w:r>
      <w:r>
        <w:rPr>
          <w:i/>
        </w:rPr>
        <w:t xml:space="preserve"> sont conservés par un </w:t>
      </w:r>
      <w:r w:rsidR="00CA409A">
        <w:rPr>
          <w:i/>
        </w:rPr>
        <w:t xml:space="preserve">tiers </w:t>
      </w:r>
      <w:r>
        <w:rPr>
          <w:i/>
        </w:rPr>
        <w:t>dépositaire (i) en Suisse ou (ii) à l</w:t>
      </w:r>
      <w:r w:rsidR="00A6523A">
        <w:rPr>
          <w:i/>
        </w:rPr>
        <w:t>’</w:t>
      </w:r>
      <w:r>
        <w:rPr>
          <w:i/>
        </w:rPr>
        <w:t xml:space="preserve">étranger et dans </w:t>
      </w:r>
      <w:r w:rsidR="001161E3">
        <w:rPr>
          <w:i/>
        </w:rPr>
        <w:t>des</w:t>
      </w:r>
      <w:r>
        <w:rPr>
          <w:i/>
        </w:rPr>
        <w:t xml:space="preserve"> dépôt</w:t>
      </w:r>
      <w:r w:rsidR="001161E3">
        <w:rPr>
          <w:i/>
        </w:rPr>
        <w:t>s</w:t>
      </w:r>
      <w:r>
        <w:rPr>
          <w:i/>
        </w:rPr>
        <w:t xml:space="preserve"> (i) individuel</w:t>
      </w:r>
      <w:r w:rsidR="001161E3">
        <w:rPr>
          <w:i/>
        </w:rPr>
        <w:t>s</w:t>
      </w:r>
      <w:r>
        <w:rPr>
          <w:i/>
        </w:rPr>
        <w:t xml:space="preserve"> ou (ii) collectif</w:t>
      </w:r>
      <w:r w:rsidR="001161E3">
        <w:rPr>
          <w:i/>
        </w:rPr>
        <w:t>s</w:t>
      </w:r>
      <w:r>
        <w:rPr>
          <w:i/>
        </w:rPr>
        <w:t>.</w:t>
      </w:r>
    </w:p>
    <w:p w14:paraId="50945BF8" w14:textId="77777777" w:rsidR="00BD27DB" w:rsidRDefault="00BD27DB">
      <w:pPr>
        <w:rPr>
          <w:i/>
          <w:iCs/>
        </w:rPr>
      </w:pPr>
      <w:r>
        <w:br w:type="page"/>
      </w:r>
    </w:p>
    <w:p w14:paraId="44375632" w14:textId="77777777" w:rsidR="00BD27DB" w:rsidRPr="00DA3747" w:rsidRDefault="00BD27DB" w:rsidP="00BD27DB">
      <w:pPr>
        <w:spacing w:line="240" w:lineRule="atLeast"/>
        <w:jc w:val="center"/>
        <w:textAlignment w:val="baseline"/>
        <w:rPr>
          <w:b/>
          <w:color w:val="000000"/>
          <w:spacing w:val="-5"/>
          <w:sz w:val="36"/>
        </w:rPr>
      </w:pPr>
      <w:r>
        <w:rPr>
          <w:b/>
          <w:color w:val="000000"/>
          <w:sz w:val="36"/>
        </w:rPr>
        <w:lastRenderedPageBreak/>
        <w:t>*******************</w:t>
      </w:r>
    </w:p>
    <w:p w14:paraId="19F29C60" w14:textId="5D559534" w:rsidR="00BD27DB" w:rsidRPr="00DA3747" w:rsidRDefault="00BD27DB" w:rsidP="00BD27DB">
      <w:pPr>
        <w:textAlignment w:val="baseline"/>
        <w:rPr>
          <w:b/>
          <w:color w:val="000000"/>
          <w:spacing w:val="-5"/>
          <w:sz w:val="36"/>
        </w:rPr>
      </w:pPr>
      <w:r>
        <w:rPr>
          <w:b/>
          <w:sz w:val="36"/>
        </w:rPr>
        <w:t xml:space="preserve">Convention </w:t>
      </w:r>
      <w:r w:rsidR="00136091">
        <w:rPr>
          <w:b/>
          <w:sz w:val="36"/>
        </w:rPr>
        <w:t xml:space="preserve">complémentaire </w:t>
      </w:r>
      <w:r w:rsidR="007467C5">
        <w:rPr>
          <w:b/>
          <w:sz w:val="36"/>
        </w:rPr>
        <w:t>relative à</w:t>
      </w:r>
      <w:r>
        <w:rPr>
          <w:b/>
          <w:sz w:val="36"/>
        </w:rPr>
        <w:t xml:space="preserve"> la fortune liée XY</w:t>
      </w:r>
    </w:p>
    <w:p w14:paraId="0B65CB0C" w14:textId="409E063A" w:rsidR="00BD27DB" w:rsidRPr="00DA3747" w:rsidRDefault="00BD27DB" w:rsidP="00BD27DB">
      <w:pPr>
        <w:spacing w:before="224" w:line="228" w:lineRule="exact"/>
        <w:jc w:val="both"/>
        <w:textAlignment w:val="baseline"/>
        <w:rPr>
          <w:color w:val="000000"/>
        </w:rPr>
      </w:pPr>
      <w:r>
        <w:rPr>
          <w:color w:val="000000" w:themeColor="text1"/>
        </w:rPr>
        <w:t xml:space="preserve">Dispositions </w:t>
      </w:r>
      <w:r w:rsidR="00136091">
        <w:rPr>
          <w:color w:val="000000" w:themeColor="text1"/>
        </w:rPr>
        <w:t xml:space="preserve">complémentaires </w:t>
      </w:r>
      <w:r>
        <w:rPr>
          <w:color w:val="000000" w:themeColor="text1"/>
        </w:rPr>
        <w:t>applicables aux relations d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 xml:space="preserve">affaires (dépôts/comptes) entre la banque X (ci-après la Banque dépositaire) </w:t>
      </w:r>
      <w:r w:rsidR="00AC4275">
        <w:rPr>
          <w:color w:val="000000" w:themeColor="text1"/>
        </w:rPr>
        <w:t xml:space="preserve">d’une part, </w:t>
      </w:r>
      <w:r>
        <w:rPr>
          <w:color w:val="000000" w:themeColor="text1"/>
        </w:rPr>
        <w:t>l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>entreprise d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 xml:space="preserve">assurance Y (ci-après la Déposante) </w:t>
      </w:r>
      <w:r w:rsidR="00AC4275">
        <w:rPr>
          <w:color w:val="000000" w:themeColor="text1"/>
        </w:rPr>
        <w:t xml:space="preserve">d’autre part, </w:t>
      </w:r>
      <w:r w:rsidR="00CF48EA">
        <w:rPr>
          <w:color w:val="000000" w:themeColor="text1"/>
        </w:rPr>
        <w:t>et relatives à</w:t>
      </w:r>
      <w:r>
        <w:rPr>
          <w:color w:val="000000" w:themeColor="text1"/>
        </w:rPr>
        <w:t xml:space="preserve"> la conservation de </w:t>
      </w:r>
      <w:r w:rsidR="000E00AA">
        <w:rPr>
          <w:color w:val="000000" w:themeColor="text1"/>
        </w:rPr>
        <w:t xml:space="preserve">biens </w:t>
      </w:r>
      <w:r w:rsidR="006F46C1">
        <w:rPr>
          <w:color w:val="000000" w:themeColor="text1"/>
        </w:rPr>
        <w:t>faisant partie de</w:t>
      </w:r>
      <w:r>
        <w:rPr>
          <w:color w:val="000000" w:themeColor="text1"/>
        </w:rPr>
        <w:t xml:space="preserve"> la «fortune liée XY» de la Déposante</w:t>
      </w:r>
    </w:p>
    <w:p w14:paraId="5B2B395D" w14:textId="19050118" w:rsidR="00BD27DB" w:rsidRPr="00DA3747" w:rsidRDefault="00BD27DB" w:rsidP="00BD27DB">
      <w:pPr>
        <w:numPr>
          <w:ilvl w:val="0"/>
          <w:numId w:val="1"/>
        </w:numPr>
        <w:spacing w:before="232" w:after="0" w:line="230" w:lineRule="exact"/>
        <w:jc w:val="both"/>
        <w:textAlignment w:val="baseline"/>
        <w:rPr>
          <w:color w:val="000000"/>
          <w:szCs w:val="20"/>
        </w:rPr>
      </w:pPr>
      <w:r>
        <w:rPr>
          <w:color w:val="000000" w:themeColor="text1"/>
        </w:rPr>
        <w:t>La présente convention s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>applique aux relations d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>affaires susmentionnées à titre complémentaire. D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>éventuelles dispositions divergentes prévues dans des contrats entre les parties prévalent sur la présente convention dès lors qu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 xml:space="preserve">elles sont plus favorables pour la Déposante. </w:t>
      </w:r>
    </w:p>
    <w:p w14:paraId="244492DB" w14:textId="3B8EEF69" w:rsidR="00BD27DB" w:rsidRPr="00DA3747" w:rsidRDefault="00BD27DB" w:rsidP="00BD27DB">
      <w:pPr>
        <w:numPr>
          <w:ilvl w:val="0"/>
          <w:numId w:val="1"/>
        </w:numPr>
        <w:spacing w:before="232" w:after="0" w:line="230" w:lineRule="exact"/>
        <w:jc w:val="both"/>
        <w:textAlignment w:val="baseline"/>
        <w:rPr>
          <w:color w:val="000000"/>
        </w:rPr>
      </w:pPr>
      <w:r>
        <w:t xml:space="preserve">Les </w:t>
      </w:r>
      <w:r w:rsidR="00981459">
        <w:t xml:space="preserve">biens </w:t>
      </w:r>
      <w:r>
        <w:t xml:space="preserve">de la fortune liée peuvent être conservés et/ou comptabilisés par la Banque dépositaire elle-même ou, dans la </w:t>
      </w:r>
      <w:r w:rsidR="006A3930">
        <w:t>limite</w:t>
      </w:r>
      <w:r>
        <w:t xml:space="preserve"> </w:t>
      </w:r>
      <w:r w:rsidR="007F7B3A">
        <w:t>de ce qui</w:t>
      </w:r>
      <w:r>
        <w:t xml:space="preserve"> est autorisé, par un </w:t>
      </w:r>
      <w:r w:rsidR="00EC4E6A">
        <w:t xml:space="preserve">tiers </w:t>
      </w:r>
      <w:r>
        <w:t>dépositaire de son choix en Suisse ou à l</w:t>
      </w:r>
      <w:r w:rsidR="00A6523A">
        <w:t>’</w:t>
      </w:r>
      <w:r>
        <w:t xml:space="preserve">étranger, dans </w:t>
      </w:r>
      <w:r w:rsidR="00EE4338">
        <w:t>des</w:t>
      </w:r>
      <w:r>
        <w:t xml:space="preserve"> dépôt</w:t>
      </w:r>
      <w:r w:rsidR="00EE4338">
        <w:t>s</w:t>
      </w:r>
      <w:r>
        <w:t xml:space="preserve"> </w:t>
      </w:r>
      <w:r w:rsidR="00C02F91">
        <w:t>individuel</w:t>
      </w:r>
      <w:r w:rsidR="00EE4338">
        <w:t>s</w:t>
      </w:r>
      <w:r w:rsidR="00C02F91">
        <w:t xml:space="preserve"> ou </w:t>
      </w:r>
      <w:r>
        <w:t>collectif</w:t>
      </w:r>
      <w:r w:rsidR="00EE4338">
        <w:t>s</w:t>
      </w:r>
      <w:r>
        <w:t>.</w:t>
      </w:r>
    </w:p>
    <w:p w14:paraId="75C2AEE0" w14:textId="2F25814F" w:rsidR="00BD27DB" w:rsidRPr="00123094" w:rsidRDefault="00BD27DB" w:rsidP="00BD27DB">
      <w:pPr>
        <w:tabs>
          <w:tab w:val="left" w:pos="576"/>
        </w:tabs>
        <w:spacing w:before="232" w:line="230" w:lineRule="exact"/>
        <w:jc w:val="both"/>
        <w:textAlignment w:val="baseline"/>
        <w:rPr>
          <w:rFonts w:eastAsia="Arial"/>
          <w:color w:val="000000"/>
          <w:szCs w:val="20"/>
        </w:rPr>
      </w:pPr>
      <w:r>
        <w:rPr>
          <w:color w:val="000000"/>
        </w:rPr>
        <w:t>La Banque dépositaire assure la conservation et l</w:t>
      </w:r>
      <w:r w:rsidR="00A6523A">
        <w:rPr>
          <w:color w:val="000000"/>
        </w:rPr>
        <w:t>’</w:t>
      </w:r>
      <w:r>
        <w:rPr>
          <w:color w:val="000000"/>
        </w:rPr>
        <w:t xml:space="preserve">administration des </w:t>
      </w:r>
      <w:r w:rsidR="009A1AB0">
        <w:rPr>
          <w:color w:val="000000"/>
        </w:rPr>
        <w:t xml:space="preserve">biens </w:t>
      </w:r>
      <w:r>
        <w:rPr>
          <w:color w:val="000000"/>
        </w:rPr>
        <w:t>en dépôt et est tenue au minimum de la diligence d</w:t>
      </w:r>
      <w:r w:rsidR="00A6523A">
        <w:rPr>
          <w:color w:val="000000"/>
        </w:rPr>
        <w:t>’</w:t>
      </w:r>
      <w:r>
        <w:rPr>
          <w:color w:val="000000"/>
        </w:rPr>
        <w:t xml:space="preserve">usage au sens des dispositions pertinentes du droit suisse. </w:t>
      </w:r>
    </w:p>
    <w:p w14:paraId="48BBC6FA" w14:textId="32D0CCE2" w:rsidR="00BD27DB" w:rsidRDefault="00BD27DB" w:rsidP="00BD27DB">
      <w:pPr>
        <w:tabs>
          <w:tab w:val="left" w:pos="576"/>
        </w:tabs>
        <w:spacing w:before="232" w:line="230" w:lineRule="exact"/>
        <w:jc w:val="both"/>
        <w:textAlignment w:val="baseline"/>
        <w:rPr>
          <w:rFonts w:eastAsia="Arial"/>
          <w:color w:val="000000"/>
          <w:szCs w:val="20"/>
        </w:rPr>
      </w:pPr>
      <w:r>
        <w:rPr>
          <w:color w:val="000000"/>
        </w:rPr>
        <w:t xml:space="preserve">Si la Banque dépositaire fait conserver les </w:t>
      </w:r>
      <w:r w:rsidR="009A1AB0">
        <w:rPr>
          <w:color w:val="000000"/>
        </w:rPr>
        <w:t xml:space="preserve">biens </w:t>
      </w:r>
      <w:r>
        <w:rPr>
          <w:color w:val="000000"/>
        </w:rPr>
        <w:t xml:space="preserve">en dépôt par un </w:t>
      </w:r>
      <w:r w:rsidR="009A1AB0">
        <w:rPr>
          <w:color w:val="000000"/>
        </w:rPr>
        <w:t xml:space="preserve">tiers </w:t>
      </w:r>
      <w:r>
        <w:rPr>
          <w:color w:val="000000"/>
        </w:rPr>
        <w:t>dépositaire, elle est tenue au minimum de la diligence d</w:t>
      </w:r>
      <w:r w:rsidR="00A6523A">
        <w:rPr>
          <w:color w:val="000000"/>
        </w:rPr>
        <w:t>’</w:t>
      </w:r>
      <w:r>
        <w:rPr>
          <w:color w:val="000000"/>
        </w:rPr>
        <w:t xml:space="preserve">usage en ce qui concerne le choix dudit </w:t>
      </w:r>
      <w:r w:rsidR="00313D6E">
        <w:rPr>
          <w:color w:val="000000"/>
        </w:rPr>
        <w:t xml:space="preserve">tiers </w:t>
      </w:r>
      <w:r>
        <w:rPr>
          <w:color w:val="000000"/>
        </w:rPr>
        <w:t>dépositaire, les instructions qui lui sont données ainsi que l</w:t>
      </w:r>
      <w:r w:rsidR="004103E5">
        <w:rPr>
          <w:color w:val="000000"/>
        </w:rPr>
        <w:t>a surveillance du</w:t>
      </w:r>
      <w:r>
        <w:rPr>
          <w:color w:val="000000"/>
        </w:rPr>
        <w:t xml:space="preserve"> respect </w:t>
      </w:r>
      <w:r w:rsidR="00184AF0">
        <w:rPr>
          <w:color w:val="000000"/>
        </w:rPr>
        <w:t xml:space="preserve">permanent </w:t>
      </w:r>
      <w:r>
        <w:rPr>
          <w:color w:val="000000"/>
        </w:rPr>
        <w:t>des critères de sélection.</w:t>
      </w:r>
    </w:p>
    <w:p w14:paraId="66CD4B8C" w14:textId="5D8FEDD9" w:rsidR="00BD27DB" w:rsidRPr="00DA3747" w:rsidRDefault="00BD27DB" w:rsidP="00BD27DB">
      <w:pPr>
        <w:tabs>
          <w:tab w:val="left" w:pos="576"/>
        </w:tabs>
        <w:spacing w:before="232" w:line="230" w:lineRule="exact"/>
        <w:jc w:val="both"/>
        <w:textAlignment w:val="baseline"/>
        <w:rPr>
          <w:color w:val="000000"/>
        </w:rPr>
      </w:pPr>
      <w:r>
        <w:rPr>
          <w:color w:val="000000"/>
        </w:rPr>
        <w:t xml:space="preserve">Tout accord contractuel dérogeant à la présente convention et minorant </w:t>
      </w:r>
      <w:r w:rsidR="008512FA">
        <w:rPr>
          <w:color w:val="000000"/>
        </w:rPr>
        <w:t>ces</w:t>
      </w:r>
      <w:r>
        <w:rPr>
          <w:color w:val="000000"/>
        </w:rPr>
        <w:t xml:space="preserve"> responsabilité</w:t>
      </w:r>
      <w:r w:rsidR="008512FA">
        <w:rPr>
          <w:color w:val="000000"/>
        </w:rPr>
        <w:t>s</w:t>
      </w:r>
      <w:r>
        <w:rPr>
          <w:color w:val="000000"/>
        </w:rPr>
        <w:t xml:space="preserve"> au détriment de la Déposante, conclu en particulier dans le cadre des Conditions générales de la Banque dépositaire, est nul dans tous les cas.</w:t>
      </w:r>
    </w:p>
    <w:p w14:paraId="6CD814D2" w14:textId="45C6DFC1" w:rsidR="00BD27DB" w:rsidRPr="00123094" w:rsidRDefault="00BD27DB" w:rsidP="00BD27DB">
      <w:pPr>
        <w:tabs>
          <w:tab w:val="left" w:pos="576"/>
        </w:tabs>
        <w:spacing w:before="232" w:line="230" w:lineRule="exact"/>
        <w:jc w:val="both"/>
        <w:textAlignment w:val="baseline"/>
        <w:rPr>
          <w:rFonts w:eastAsia="Arial"/>
          <w:color w:val="000000"/>
          <w:szCs w:val="20"/>
        </w:rPr>
      </w:pPr>
      <w:r>
        <w:rPr>
          <w:color w:val="000000" w:themeColor="text1"/>
        </w:rPr>
        <w:t>Si des normes juridiques applicables ou d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 xml:space="preserve">autres accords contractuels </w:t>
      </w:r>
      <w:r w:rsidR="00603FEB">
        <w:rPr>
          <w:color w:val="000000" w:themeColor="text1"/>
        </w:rPr>
        <w:t>prévoient</w:t>
      </w:r>
      <w:r>
        <w:rPr>
          <w:color w:val="000000" w:themeColor="text1"/>
        </w:rPr>
        <w:t xml:space="preserve"> une responsabilité de la Banque dépositaire plus favorable pour la Déposante, ces normes juridiques et/ou ces accords contractuels prévalent dans tous les cas.</w:t>
      </w:r>
    </w:p>
    <w:p w14:paraId="38A3A9C3" w14:textId="59F9A193" w:rsidR="00BD27DB" w:rsidRPr="00DA3747" w:rsidRDefault="00BD27DB" w:rsidP="00BD27DB">
      <w:pPr>
        <w:numPr>
          <w:ilvl w:val="0"/>
          <w:numId w:val="1"/>
        </w:numPr>
        <w:spacing w:before="231" w:after="0" w:line="230" w:lineRule="exact"/>
        <w:jc w:val="both"/>
        <w:textAlignment w:val="baseline"/>
        <w:rPr>
          <w:color w:val="000000"/>
        </w:rPr>
      </w:pPr>
      <w:r>
        <w:rPr>
          <w:color w:val="000000" w:themeColor="text1"/>
        </w:rPr>
        <w:t xml:space="preserve">La Banque dépositaire identifie par la mention «fortune liée XY» les dépôts et/ou les comptes gérés par ses soins </w:t>
      </w:r>
      <w:r w:rsidR="00377F9D">
        <w:rPr>
          <w:color w:val="000000" w:themeColor="text1"/>
        </w:rPr>
        <w:t>où sont comptabilisés</w:t>
      </w:r>
      <w:r>
        <w:rPr>
          <w:color w:val="000000" w:themeColor="text1"/>
        </w:rPr>
        <w:t xml:space="preserve"> des </w:t>
      </w:r>
      <w:r w:rsidR="003A7E11">
        <w:rPr>
          <w:color w:val="000000" w:themeColor="text1"/>
        </w:rPr>
        <w:t xml:space="preserve">biens </w:t>
      </w:r>
      <w:r>
        <w:rPr>
          <w:color w:val="000000" w:themeColor="text1"/>
        </w:rPr>
        <w:t xml:space="preserve">de la fortune liée concernée. Elle tient un </w:t>
      </w:r>
      <w:r w:rsidR="009A5545">
        <w:rPr>
          <w:color w:val="000000" w:themeColor="text1"/>
        </w:rPr>
        <w:t xml:space="preserve">inventaire </w:t>
      </w:r>
      <w:r>
        <w:rPr>
          <w:color w:val="000000" w:themeColor="text1"/>
        </w:rPr>
        <w:t xml:space="preserve">de ces </w:t>
      </w:r>
      <w:r w:rsidR="001A5D34">
        <w:rPr>
          <w:color w:val="000000" w:themeColor="text1"/>
        </w:rPr>
        <w:t xml:space="preserve">biens </w:t>
      </w:r>
      <w:r>
        <w:rPr>
          <w:color w:val="000000" w:themeColor="text1"/>
        </w:rPr>
        <w:t>par fortune liée.</w:t>
      </w:r>
    </w:p>
    <w:p w14:paraId="79B45FD9" w14:textId="58B85CAB" w:rsidR="00BD27DB" w:rsidRPr="00DA3747" w:rsidRDefault="00BD27DB" w:rsidP="00BD27DB">
      <w:pPr>
        <w:spacing w:before="231" w:line="230" w:lineRule="exact"/>
        <w:jc w:val="both"/>
        <w:textAlignment w:val="baseline"/>
        <w:rPr>
          <w:color w:val="000000"/>
        </w:rPr>
      </w:pPr>
      <w:r>
        <w:rPr>
          <w:color w:val="000000"/>
        </w:rPr>
        <w:t xml:space="preserve">La Déposante veille à ce que ces dépôts et/ou ces comptes </w:t>
      </w:r>
      <w:r w:rsidR="007D2A80">
        <w:rPr>
          <w:color w:val="000000"/>
        </w:rPr>
        <w:t>soient réservés</w:t>
      </w:r>
      <w:r>
        <w:rPr>
          <w:color w:val="000000"/>
        </w:rPr>
        <w:t xml:space="preserve"> exclusivement </w:t>
      </w:r>
      <w:r w:rsidR="000E1A4C">
        <w:rPr>
          <w:color w:val="000000"/>
        </w:rPr>
        <w:t>à des</w:t>
      </w:r>
      <w:r>
        <w:rPr>
          <w:color w:val="000000"/>
        </w:rPr>
        <w:t xml:space="preserve"> </w:t>
      </w:r>
      <w:r w:rsidR="00117476">
        <w:rPr>
          <w:color w:val="000000"/>
        </w:rPr>
        <w:t xml:space="preserve">biens </w:t>
      </w:r>
      <w:r>
        <w:rPr>
          <w:color w:val="000000"/>
        </w:rPr>
        <w:t>de la fortune liée.</w:t>
      </w:r>
    </w:p>
    <w:p w14:paraId="17CE0903" w14:textId="5A669666" w:rsidR="00BD27DB" w:rsidRPr="00DA3747" w:rsidRDefault="00BD27DB" w:rsidP="00BD27DB">
      <w:pPr>
        <w:numPr>
          <w:ilvl w:val="0"/>
          <w:numId w:val="1"/>
        </w:numPr>
        <w:spacing w:before="236" w:after="0" w:line="229" w:lineRule="exact"/>
        <w:jc w:val="both"/>
        <w:textAlignment w:val="baseline"/>
        <w:rPr>
          <w:color w:val="000000"/>
        </w:rPr>
      </w:pPr>
      <w:r>
        <w:rPr>
          <w:color w:val="000000" w:themeColor="text1"/>
        </w:rPr>
        <w:t xml:space="preserve">La Banque dépositaire prend acte de ce que les </w:t>
      </w:r>
      <w:r w:rsidR="001146DF">
        <w:rPr>
          <w:color w:val="000000" w:themeColor="text1"/>
        </w:rPr>
        <w:t xml:space="preserve">biens </w:t>
      </w:r>
      <w:r>
        <w:rPr>
          <w:color w:val="000000" w:themeColor="text1"/>
        </w:rPr>
        <w:t xml:space="preserve">conservés et/ou comptabilisés conformément au chiffre 3 </w:t>
      </w:r>
      <w:r w:rsidR="009E0639">
        <w:rPr>
          <w:color w:val="000000" w:themeColor="text1"/>
        </w:rPr>
        <w:t xml:space="preserve">ci-dessus </w:t>
      </w:r>
      <w:r>
        <w:rPr>
          <w:color w:val="000000" w:themeColor="text1"/>
        </w:rPr>
        <w:t>sont destinés à garantir les droits des preneurs/-euses d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 xml:space="preserve">assurance de la Déposante. Elle déclare dès lors expressément </w:t>
      </w:r>
      <w:r w:rsidR="00F06D03">
        <w:rPr>
          <w:color w:val="000000" w:themeColor="text1"/>
        </w:rPr>
        <w:t>ne pas exercer de</w:t>
      </w:r>
      <w:r>
        <w:rPr>
          <w:color w:val="000000" w:themeColor="text1"/>
        </w:rPr>
        <w:t xml:space="preserve"> droit</w:t>
      </w:r>
      <w:r w:rsidR="00F06D03">
        <w:rPr>
          <w:color w:val="000000" w:themeColor="text1"/>
        </w:rPr>
        <w:t>s</w:t>
      </w:r>
      <w:r>
        <w:rPr>
          <w:color w:val="000000" w:themeColor="text1"/>
        </w:rPr>
        <w:t xml:space="preserve"> de gage, de rétention, de compensation et autres droits similaires </w:t>
      </w:r>
      <w:r w:rsidR="00F06D03">
        <w:rPr>
          <w:color w:val="000000" w:themeColor="text1"/>
        </w:rPr>
        <w:t xml:space="preserve">sur ces biens </w:t>
      </w:r>
      <w:r>
        <w:rPr>
          <w:color w:val="000000" w:themeColor="text1"/>
        </w:rPr>
        <w:t xml:space="preserve">et renonce expressément à de tels droits, même si la Déposante devient insolvable après transfert des </w:t>
      </w:r>
      <w:r w:rsidR="00944C74">
        <w:rPr>
          <w:color w:val="000000" w:themeColor="text1"/>
        </w:rPr>
        <w:t xml:space="preserve">biens </w:t>
      </w:r>
      <w:r>
        <w:rPr>
          <w:color w:val="000000" w:themeColor="text1"/>
        </w:rPr>
        <w:t xml:space="preserve">ou affectation à la fortune liée. </w:t>
      </w:r>
      <w:r>
        <w:t>Demeure réservée la compensation (</w:t>
      </w:r>
      <w:r>
        <w:rPr>
          <w:i/>
          <w:iCs/>
        </w:rPr>
        <w:t>netting</w:t>
      </w:r>
      <w:r>
        <w:t>) d</w:t>
      </w:r>
      <w:r w:rsidR="00A6523A">
        <w:t>’</w:t>
      </w:r>
      <w:r>
        <w:t>opérations dérivées conclues dans un contrat cadre au sens de l</w:t>
      </w:r>
      <w:r w:rsidR="00A6523A">
        <w:t>’</w:t>
      </w:r>
      <w:r>
        <w:t>art. 91, al. 3 de l</w:t>
      </w:r>
      <w:r w:rsidR="00A6523A">
        <w:t>’</w:t>
      </w:r>
      <w:r>
        <w:t>ordonnance sur la surveillance (OS).</w:t>
      </w:r>
      <w:r>
        <w:rPr>
          <w:color w:val="000000" w:themeColor="text1"/>
        </w:rPr>
        <w:t xml:space="preserve"> </w:t>
      </w:r>
    </w:p>
    <w:p w14:paraId="563C7142" w14:textId="2C662B68" w:rsidR="00BD27DB" w:rsidRPr="00B1407C" w:rsidRDefault="00BD27DB" w:rsidP="00BD27DB">
      <w:pPr>
        <w:tabs>
          <w:tab w:val="left" w:pos="576"/>
        </w:tabs>
        <w:spacing w:before="236" w:line="229" w:lineRule="exact"/>
        <w:jc w:val="both"/>
        <w:textAlignment w:val="baseline"/>
        <w:rPr>
          <w:color w:val="000000"/>
        </w:rPr>
      </w:pPr>
      <w:r>
        <w:rPr>
          <w:color w:val="000000" w:themeColor="text1"/>
        </w:rPr>
        <w:t xml:space="preserve">Le prélèvement de frais, taxes, commissions, etc. </w:t>
      </w:r>
      <w:r w:rsidR="00E71565">
        <w:rPr>
          <w:color w:val="000000" w:themeColor="text1"/>
        </w:rPr>
        <w:t>pour des raisons</w:t>
      </w:r>
      <w:r>
        <w:rPr>
          <w:color w:val="000000" w:themeColor="text1"/>
        </w:rPr>
        <w:t xml:space="preserve"> opérationnel</w:t>
      </w:r>
      <w:r w:rsidR="00E71565">
        <w:rPr>
          <w:color w:val="000000" w:themeColor="text1"/>
        </w:rPr>
        <w:t>les</w:t>
      </w:r>
      <w:r>
        <w:rPr>
          <w:color w:val="000000" w:themeColor="text1"/>
        </w:rPr>
        <w:t xml:space="preserve"> est autorisé dans le </w:t>
      </w:r>
      <w:r w:rsidR="003C1701">
        <w:rPr>
          <w:color w:val="000000" w:themeColor="text1"/>
        </w:rPr>
        <w:t>cadre</w:t>
      </w:r>
      <w:r>
        <w:rPr>
          <w:color w:val="000000" w:themeColor="text1"/>
        </w:rPr>
        <w:t xml:space="preserve"> normal des activités, moyennant une autorisation de débit. Cette autorisation devient caduque dans les cas suivants:</w:t>
      </w:r>
    </w:p>
    <w:p w14:paraId="67D1E184" w14:textId="77777777" w:rsidR="00BD27DB" w:rsidRPr="00997C85" w:rsidRDefault="00BD27DB" w:rsidP="00BD27DB">
      <w:pPr>
        <w:pStyle w:val="Listenabsatz"/>
        <w:numPr>
          <w:ilvl w:val="0"/>
          <w:numId w:val="2"/>
        </w:numPr>
        <w:tabs>
          <w:tab w:val="left" w:pos="576"/>
        </w:tabs>
        <w:spacing w:before="236" w:line="229" w:lineRule="exact"/>
        <w:jc w:val="both"/>
        <w:textAlignment w:val="baseline"/>
        <w:rPr>
          <w:rFonts w:eastAsia="Arial"/>
          <w:color w:val="000000"/>
          <w:szCs w:val="20"/>
        </w:rPr>
      </w:pPr>
      <w:r>
        <w:rPr>
          <w:color w:val="000000" w:themeColor="text1"/>
        </w:rPr>
        <w:t>si la Déposante la révoque;</w:t>
      </w:r>
    </w:p>
    <w:p w14:paraId="79C57E69" w14:textId="3E1E594F" w:rsidR="00BD27DB" w:rsidRPr="00997C85" w:rsidRDefault="00BD27DB" w:rsidP="00BD27DB">
      <w:pPr>
        <w:pStyle w:val="Listenabsatz"/>
        <w:numPr>
          <w:ilvl w:val="0"/>
          <w:numId w:val="2"/>
        </w:numPr>
        <w:tabs>
          <w:tab w:val="left" w:pos="576"/>
        </w:tabs>
        <w:spacing w:before="236" w:line="229" w:lineRule="exact"/>
        <w:jc w:val="both"/>
        <w:textAlignment w:val="baseline"/>
        <w:rPr>
          <w:rFonts w:eastAsia="Arial"/>
          <w:color w:val="000000" w:themeColor="text1"/>
          <w:szCs w:val="20"/>
        </w:rPr>
      </w:pPr>
      <w:r>
        <w:rPr>
          <w:color w:val="000000" w:themeColor="text1"/>
        </w:rPr>
        <w:t>si des mesures protectrices sont prises en vertu de l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>art. 51, al. 2, let. a, b, d, e et i de la loi sur la surveillance des assurances (LSA) ainsi qu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>en cas d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>ouverture d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>une procédure d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 xml:space="preserve">assainissement ou de faillite que la FINMA a publiée ou dont elle a informé la Banque dépositaire. Le prélèvement </w:t>
      </w:r>
      <w:r w:rsidR="008B27EB">
        <w:rPr>
          <w:color w:val="000000" w:themeColor="text1"/>
        </w:rPr>
        <w:t xml:space="preserve">ordinaire </w:t>
      </w:r>
      <w:r>
        <w:rPr>
          <w:color w:val="000000" w:themeColor="text1"/>
        </w:rPr>
        <w:t xml:space="preserve">des </w:t>
      </w:r>
      <w:r w:rsidR="00725F67">
        <w:rPr>
          <w:color w:val="000000" w:themeColor="text1"/>
        </w:rPr>
        <w:t xml:space="preserve">coûts </w:t>
      </w:r>
      <w:r>
        <w:rPr>
          <w:color w:val="000000" w:themeColor="text1"/>
        </w:rPr>
        <w:t>susmentionnés n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>est alors autorisé que d</w:t>
      </w:r>
      <w:r w:rsidR="00A6523A">
        <w:rPr>
          <w:color w:val="000000" w:themeColor="text1"/>
        </w:rPr>
        <w:t>’</w:t>
      </w:r>
      <w:r>
        <w:rPr>
          <w:color w:val="000000" w:themeColor="text1"/>
        </w:rPr>
        <w:t xml:space="preserve">entente avec la FINMA. </w:t>
      </w:r>
    </w:p>
    <w:p w14:paraId="214F671F" w14:textId="72A4F6BB" w:rsidR="00BD27DB" w:rsidRPr="00DA3747" w:rsidRDefault="00BD27DB" w:rsidP="00BD27DB">
      <w:pPr>
        <w:spacing w:before="231" w:line="230" w:lineRule="exact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Si des tiers (y compris banques correspondantes, </w:t>
      </w:r>
      <w:r w:rsidR="004B27F6">
        <w:rPr>
          <w:color w:val="000000"/>
        </w:rPr>
        <w:t xml:space="preserve">tiers </w:t>
      </w:r>
      <w:r>
        <w:rPr>
          <w:color w:val="000000"/>
        </w:rPr>
        <w:t xml:space="preserve">dépositaires) font valoir des droits </w:t>
      </w:r>
      <w:r w:rsidR="00052800">
        <w:rPr>
          <w:color w:val="000000"/>
        </w:rPr>
        <w:t xml:space="preserve">sur </w:t>
      </w:r>
      <w:r>
        <w:rPr>
          <w:color w:val="000000"/>
        </w:rPr>
        <w:t xml:space="preserve">les </w:t>
      </w:r>
      <w:r w:rsidR="00052800">
        <w:rPr>
          <w:color w:val="000000"/>
        </w:rPr>
        <w:t xml:space="preserve">biens </w:t>
      </w:r>
      <w:r>
        <w:rPr>
          <w:color w:val="000000"/>
        </w:rPr>
        <w:t>de la fortune liée, la Banque dépositaire en informe la Déposante sans délai.</w:t>
      </w:r>
    </w:p>
    <w:p w14:paraId="7E33E321" w14:textId="3EEE140F" w:rsidR="00BD27DB" w:rsidRPr="00DA3747" w:rsidRDefault="00BD27DB" w:rsidP="00BD27DB">
      <w:pPr>
        <w:spacing w:before="233" w:line="228" w:lineRule="exact"/>
        <w:jc w:val="both"/>
        <w:textAlignment w:val="baseline"/>
        <w:rPr>
          <w:color w:val="000000"/>
        </w:rPr>
      </w:pPr>
      <w:r>
        <w:rPr>
          <w:color w:val="000000"/>
        </w:rPr>
        <w:t xml:space="preserve">Si la Déposante souhaite comptabiliser dans des dépôts et/ou des comptes «fortune liée» des </w:t>
      </w:r>
      <w:r w:rsidR="002F3C39">
        <w:rPr>
          <w:color w:val="000000"/>
        </w:rPr>
        <w:t xml:space="preserve">biens </w:t>
      </w:r>
      <w:r>
        <w:rPr>
          <w:color w:val="000000"/>
        </w:rPr>
        <w:t>déjà grevés d</w:t>
      </w:r>
      <w:r w:rsidR="00A6523A">
        <w:rPr>
          <w:color w:val="000000"/>
        </w:rPr>
        <w:t>’</w:t>
      </w:r>
      <w:r>
        <w:rPr>
          <w:color w:val="000000"/>
        </w:rPr>
        <w:t xml:space="preserve">une sûreté de la Banque dépositaire, </w:t>
      </w:r>
      <w:r w:rsidR="00BC5600">
        <w:rPr>
          <w:color w:val="000000"/>
        </w:rPr>
        <w:t>cette dernière</w:t>
      </w:r>
      <w:r>
        <w:rPr>
          <w:color w:val="000000"/>
        </w:rPr>
        <w:t xml:space="preserve"> peut refuser de procéder au transfert jusqu</w:t>
      </w:r>
      <w:r w:rsidR="00A6523A">
        <w:rPr>
          <w:color w:val="000000"/>
        </w:rPr>
        <w:t>’</w:t>
      </w:r>
      <w:r>
        <w:rPr>
          <w:color w:val="000000"/>
        </w:rPr>
        <w:t xml:space="preserve">à ce que la Déposante ait constitué une </w:t>
      </w:r>
      <w:r w:rsidR="00543A37">
        <w:rPr>
          <w:color w:val="000000"/>
        </w:rPr>
        <w:t xml:space="preserve">sûreté </w:t>
      </w:r>
      <w:r>
        <w:rPr>
          <w:color w:val="000000"/>
        </w:rPr>
        <w:t xml:space="preserve">de substitution ou que la </w:t>
      </w:r>
      <w:r w:rsidR="00731A58">
        <w:rPr>
          <w:color w:val="000000"/>
        </w:rPr>
        <w:t xml:space="preserve">sûreté </w:t>
      </w:r>
      <w:r>
        <w:rPr>
          <w:color w:val="000000"/>
        </w:rPr>
        <w:t>ait été r</w:t>
      </w:r>
      <w:r w:rsidR="008934B9">
        <w:rPr>
          <w:color w:val="000000"/>
        </w:rPr>
        <w:t>achet</w:t>
      </w:r>
      <w:r>
        <w:rPr>
          <w:color w:val="000000"/>
        </w:rPr>
        <w:t>ée.</w:t>
      </w:r>
    </w:p>
    <w:p w14:paraId="279D6525" w14:textId="5AFB814D" w:rsidR="00BD27DB" w:rsidRPr="00DA3747" w:rsidRDefault="00BD27DB" w:rsidP="00BD27DB">
      <w:pPr>
        <w:numPr>
          <w:ilvl w:val="0"/>
          <w:numId w:val="1"/>
        </w:numPr>
        <w:spacing w:before="232" w:after="0" w:line="230" w:lineRule="exact"/>
        <w:jc w:val="both"/>
        <w:textAlignment w:val="baseline"/>
        <w:rPr>
          <w:color w:val="000000"/>
        </w:rPr>
      </w:pPr>
      <w:r>
        <w:rPr>
          <w:color w:val="000000" w:themeColor="text1"/>
        </w:rPr>
        <w:t xml:space="preserve">La Déposante </w:t>
      </w:r>
      <w:r w:rsidR="006C2C68">
        <w:rPr>
          <w:color w:val="000000" w:themeColor="text1"/>
        </w:rPr>
        <w:t xml:space="preserve">assume seule l’entière </w:t>
      </w:r>
      <w:r w:rsidR="001C320F">
        <w:rPr>
          <w:color w:val="000000" w:themeColor="text1"/>
        </w:rPr>
        <w:t>responsabilité</w:t>
      </w:r>
      <w:r w:rsidR="00D96E7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du respect des dispositions réglementaires, notamment en ce qui concerne le volume minimal de la fortune liée, les </w:t>
      </w:r>
      <w:r w:rsidR="00A613F0">
        <w:rPr>
          <w:color w:val="000000" w:themeColor="text1"/>
        </w:rPr>
        <w:t xml:space="preserve">biens </w:t>
      </w:r>
      <w:r>
        <w:rPr>
          <w:color w:val="000000" w:themeColor="text1"/>
        </w:rPr>
        <w:t xml:space="preserve">autorisés pour la constituer et sa composition. </w:t>
      </w:r>
      <w:r>
        <w:rPr>
          <w:color w:val="000000"/>
        </w:rPr>
        <w:t xml:space="preserve">La Déposante autorise la Banque dépositaire à communiquer des renseignements </w:t>
      </w:r>
      <w:r w:rsidR="00AE64C8">
        <w:rPr>
          <w:color w:val="000000"/>
        </w:rPr>
        <w:t>concernant</w:t>
      </w:r>
      <w:r>
        <w:rPr>
          <w:color w:val="000000"/>
        </w:rPr>
        <w:t xml:space="preserve"> la fortune liée</w:t>
      </w:r>
      <w:r w:rsidR="008E2B27" w:rsidRPr="008E2B27">
        <w:rPr>
          <w:color w:val="000000"/>
        </w:rPr>
        <w:t xml:space="preserve"> </w:t>
      </w:r>
      <w:r w:rsidR="008E2B27">
        <w:rPr>
          <w:color w:val="000000"/>
        </w:rPr>
        <w:t>à la FINMA</w:t>
      </w:r>
      <w:r>
        <w:rPr>
          <w:color w:val="000000"/>
        </w:rPr>
        <w:t>.</w:t>
      </w:r>
    </w:p>
    <w:p w14:paraId="5C3E1588" w14:textId="0A4F4997" w:rsidR="00BD27DB" w:rsidRPr="00123094" w:rsidRDefault="00BD27DB" w:rsidP="00BD27DB">
      <w:pPr>
        <w:numPr>
          <w:ilvl w:val="0"/>
          <w:numId w:val="1"/>
        </w:numPr>
        <w:spacing w:before="232" w:after="0" w:line="230" w:lineRule="exact"/>
        <w:jc w:val="both"/>
        <w:rPr>
          <w:rFonts w:eastAsia="Arial"/>
          <w:color w:val="000000" w:themeColor="text1"/>
          <w:szCs w:val="20"/>
        </w:rPr>
      </w:pPr>
      <w:r>
        <w:rPr>
          <w:color w:val="000000" w:themeColor="text1"/>
        </w:rPr>
        <w:t xml:space="preserve">La présente convention </w:t>
      </w:r>
      <w:r w:rsidR="00F73DFA">
        <w:rPr>
          <w:color w:val="000000" w:themeColor="text1"/>
        </w:rPr>
        <w:t xml:space="preserve">complémentaire </w:t>
      </w:r>
      <w:r>
        <w:rPr>
          <w:color w:val="000000" w:themeColor="text1"/>
        </w:rPr>
        <w:t>est soumise au droit matériel suisse. Le for est (_________), Suisse.</w:t>
      </w:r>
    </w:p>
    <w:p w14:paraId="54CCDB1F" w14:textId="77777777" w:rsidR="00BD27DB" w:rsidRPr="00DA3747" w:rsidRDefault="00BD27DB" w:rsidP="00BD27DB">
      <w:pPr>
        <w:tabs>
          <w:tab w:val="left" w:pos="3024"/>
          <w:tab w:val="left" w:pos="6552"/>
        </w:tabs>
        <w:spacing w:before="231" w:line="224" w:lineRule="exact"/>
        <w:ind w:left="144"/>
        <w:textAlignment w:val="baseline"/>
        <w:rPr>
          <w:color w:val="000000"/>
        </w:rPr>
      </w:pPr>
      <w:r>
        <w:rPr>
          <w:color w:val="000000"/>
        </w:rPr>
        <w:t>Lieu/date</w:t>
      </w:r>
      <w:r>
        <w:rPr>
          <w:color w:val="000000"/>
        </w:rPr>
        <w:tab/>
        <w:t>Signature</w:t>
      </w:r>
      <w:r>
        <w:rPr>
          <w:color w:val="000000"/>
        </w:rPr>
        <w:tab/>
        <w:t>Signature</w:t>
      </w:r>
    </w:p>
    <w:p w14:paraId="51FF107F" w14:textId="58E8F7B1" w:rsidR="00BD27DB" w:rsidRPr="00DA3747" w:rsidRDefault="00D26810" w:rsidP="00BD27DB">
      <w:pPr>
        <w:tabs>
          <w:tab w:val="left" w:pos="6552"/>
        </w:tabs>
        <w:spacing w:before="8" w:after="240" w:line="224" w:lineRule="exact"/>
        <w:ind w:left="2952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BD27DB">
        <w:rPr>
          <w:color w:val="000000"/>
        </w:rPr>
        <w:t>Entreprise d</w:t>
      </w:r>
      <w:r w:rsidR="00A6523A">
        <w:rPr>
          <w:color w:val="000000"/>
        </w:rPr>
        <w:t>’</w:t>
      </w:r>
      <w:r w:rsidR="00BD27DB">
        <w:rPr>
          <w:color w:val="000000"/>
        </w:rPr>
        <w:t>assurance</w:t>
      </w:r>
      <w:r w:rsidR="00BD27DB">
        <w:rPr>
          <w:color w:val="000000"/>
        </w:rPr>
        <w:tab/>
        <w:t>Banque dépositaire</w:t>
      </w:r>
    </w:p>
    <w:p w14:paraId="4128C8FB" w14:textId="77777777" w:rsidR="00BD27DB" w:rsidRPr="00A6523A" w:rsidRDefault="00BD27DB" w:rsidP="00BD27DB">
      <w:pPr>
        <w:spacing w:after="208" w:line="202" w:lineRule="exact"/>
        <w:textAlignment w:val="baseline"/>
        <w:rPr>
          <w:rFonts w:eastAsia="Arial"/>
          <w:color w:val="000000" w:themeColor="text1"/>
          <w:sz w:val="16"/>
          <w:szCs w:val="16"/>
        </w:rPr>
      </w:pPr>
    </w:p>
    <w:p w14:paraId="54B30DCA" w14:textId="77777777" w:rsidR="00BD27DB" w:rsidRPr="00A6523A" w:rsidRDefault="00BD27DB" w:rsidP="00BD27DB">
      <w:pPr>
        <w:spacing w:after="208" w:line="202" w:lineRule="exact"/>
        <w:textAlignment w:val="baseline"/>
        <w:rPr>
          <w:rFonts w:eastAsia="Arial"/>
          <w:color w:val="000000"/>
          <w:sz w:val="12"/>
          <w:szCs w:val="12"/>
        </w:rPr>
      </w:pPr>
    </w:p>
    <w:p w14:paraId="7424D898" w14:textId="77777777" w:rsidR="00BD27DB" w:rsidRPr="00DA3747" w:rsidRDefault="00BD27DB" w:rsidP="00BD27DB">
      <w:pPr>
        <w:spacing w:before="43" w:line="412" w:lineRule="exact"/>
        <w:jc w:val="center"/>
        <w:textAlignment w:val="baseline"/>
        <w:rPr>
          <w:b/>
          <w:color w:val="000000"/>
          <w:spacing w:val="-5"/>
          <w:sz w:val="36"/>
        </w:rPr>
      </w:pPr>
      <w:r>
        <w:rPr>
          <w:b/>
          <w:color w:val="000000"/>
          <w:sz w:val="36"/>
        </w:rPr>
        <w:t>*******************</w:t>
      </w:r>
    </w:p>
    <w:p w14:paraId="41D73A8A" w14:textId="77777777" w:rsidR="00B56FA7" w:rsidRPr="00BD27DB" w:rsidRDefault="00B56FA7" w:rsidP="00BD27DB">
      <w:pPr>
        <w:rPr>
          <w:i/>
          <w:iCs/>
        </w:rPr>
      </w:pPr>
    </w:p>
    <w:sectPr w:rsidR="00B56FA7" w:rsidRPr="00BD27DB" w:rsidSect="00BD27DB"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FA7D5" w14:textId="77777777" w:rsidR="00741D9B" w:rsidRDefault="00741D9B" w:rsidP="00BD27DB">
      <w:pPr>
        <w:spacing w:after="0" w:line="240" w:lineRule="auto"/>
      </w:pPr>
      <w:r>
        <w:separator/>
      </w:r>
    </w:p>
  </w:endnote>
  <w:endnote w:type="continuationSeparator" w:id="0">
    <w:p w14:paraId="0B028DF7" w14:textId="77777777" w:rsidR="00741D9B" w:rsidRDefault="00741D9B" w:rsidP="00BD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A3E41" w14:textId="19A23A46" w:rsidR="00BD27DB" w:rsidRDefault="00BD27DB">
    <w:pPr>
      <w:pStyle w:val="Fuzeile"/>
    </w:pPr>
    <w:r>
      <w:t xml:space="preserve">Convention </w:t>
    </w:r>
    <w:r w:rsidR="00DC0665">
      <w:t>complémentaire</w:t>
    </w:r>
    <w:r w:rsidR="00886C8D">
      <w:t xml:space="preserve"> relative à</w:t>
    </w:r>
    <w:r>
      <w:t xml:space="preserve"> la fortune liée</w:t>
    </w:r>
    <w:r w:rsidR="00CA79D8">
      <w:tab/>
    </w:r>
    <w:r>
      <w:t>Page 1/2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A51E9" w14:textId="55FE48A1" w:rsidR="00BD27DB" w:rsidRDefault="00BD27DB">
    <w:pPr>
      <w:pStyle w:val="Fuzeile"/>
    </w:pPr>
    <w:r>
      <w:t xml:space="preserve">Convention </w:t>
    </w:r>
    <w:r w:rsidR="0043084F">
      <w:t>complémentaire</w:t>
    </w:r>
    <w:r w:rsidR="00CA79D8">
      <w:t xml:space="preserve"> relative à la</w:t>
    </w:r>
    <w:r>
      <w:t xml:space="preserve"> fortune liée</w:t>
    </w:r>
    <w:r w:rsidR="00CA79D8">
      <w:tab/>
    </w:r>
    <w:r>
      <w:t>Page 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E2B62" w14:textId="77777777" w:rsidR="00741D9B" w:rsidRDefault="00741D9B" w:rsidP="00BD27DB">
      <w:pPr>
        <w:spacing w:after="0" w:line="240" w:lineRule="auto"/>
      </w:pPr>
      <w:r>
        <w:separator/>
      </w:r>
    </w:p>
  </w:footnote>
  <w:footnote w:type="continuationSeparator" w:id="0">
    <w:p w14:paraId="2907084C" w14:textId="77777777" w:rsidR="00741D9B" w:rsidRDefault="00741D9B" w:rsidP="00BD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B4858"/>
    <w:multiLevelType w:val="multilevel"/>
    <w:tmpl w:val="2CCCF674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336915"/>
    <w:multiLevelType w:val="hybridMultilevel"/>
    <w:tmpl w:val="F190DC1A"/>
    <w:lvl w:ilvl="0" w:tplc="08070019">
      <w:start w:val="1"/>
      <w:numFmt w:val="lowerLetter"/>
      <w:lvlText w:val="%1."/>
      <w:lvlJc w:val="left"/>
      <w:pPr>
        <w:ind w:left="1296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551038215">
    <w:abstractNumId w:val="0"/>
  </w:num>
  <w:num w:numId="2" w16cid:durableId="18613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DB"/>
    <w:rsid w:val="00021364"/>
    <w:rsid w:val="00052800"/>
    <w:rsid w:val="000D2B25"/>
    <w:rsid w:val="000E00AA"/>
    <w:rsid w:val="000E1A4C"/>
    <w:rsid w:val="001146DF"/>
    <w:rsid w:val="001161E3"/>
    <w:rsid w:val="00117476"/>
    <w:rsid w:val="00136091"/>
    <w:rsid w:val="00141141"/>
    <w:rsid w:val="00184AF0"/>
    <w:rsid w:val="001A5D34"/>
    <w:rsid w:val="001C320F"/>
    <w:rsid w:val="00241F01"/>
    <w:rsid w:val="002F3C39"/>
    <w:rsid w:val="00313D6E"/>
    <w:rsid w:val="00376144"/>
    <w:rsid w:val="00377F9D"/>
    <w:rsid w:val="003A7E11"/>
    <w:rsid w:val="003C1701"/>
    <w:rsid w:val="004103E5"/>
    <w:rsid w:val="0043084F"/>
    <w:rsid w:val="0049179E"/>
    <w:rsid w:val="004B27F6"/>
    <w:rsid w:val="0051624C"/>
    <w:rsid w:val="00543A37"/>
    <w:rsid w:val="00561845"/>
    <w:rsid w:val="00585434"/>
    <w:rsid w:val="00603FEB"/>
    <w:rsid w:val="006A3930"/>
    <w:rsid w:val="006C2C68"/>
    <w:rsid w:val="006D61E3"/>
    <w:rsid w:val="006F46C1"/>
    <w:rsid w:val="00725F67"/>
    <w:rsid w:val="00731A58"/>
    <w:rsid w:val="00741D9B"/>
    <w:rsid w:val="007467C5"/>
    <w:rsid w:val="007D2A80"/>
    <w:rsid w:val="007F7B3A"/>
    <w:rsid w:val="00823A5A"/>
    <w:rsid w:val="008512FA"/>
    <w:rsid w:val="008638D9"/>
    <w:rsid w:val="00886A1C"/>
    <w:rsid w:val="00886C8D"/>
    <w:rsid w:val="008934B9"/>
    <w:rsid w:val="008B27EB"/>
    <w:rsid w:val="008D3B9B"/>
    <w:rsid w:val="008E2B27"/>
    <w:rsid w:val="00912AC7"/>
    <w:rsid w:val="00944C74"/>
    <w:rsid w:val="00981459"/>
    <w:rsid w:val="009A1AB0"/>
    <w:rsid w:val="009A5545"/>
    <w:rsid w:val="009E0639"/>
    <w:rsid w:val="00A613F0"/>
    <w:rsid w:val="00A6523A"/>
    <w:rsid w:val="00AC13D8"/>
    <w:rsid w:val="00AC4275"/>
    <w:rsid w:val="00AE64C8"/>
    <w:rsid w:val="00B15F4F"/>
    <w:rsid w:val="00B27612"/>
    <w:rsid w:val="00B56FA7"/>
    <w:rsid w:val="00BC5600"/>
    <w:rsid w:val="00BD27DB"/>
    <w:rsid w:val="00C02F91"/>
    <w:rsid w:val="00CA409A"/>
    <w:rsid w:val="00CA79D8"/>
    <w:rsid w:val="00CF0293"/>
    <w:rsid w:val="00CF48EA"/>
    <w:rsid w:val="00CF72A5"/>
    <w:rsid w:val="00D26810"/>
    <w:rsid w:val="00D96E73"/>
    <w:rsid w:val="00DC0665"/>
    <w:rsid w:val="00E4078A"/>
    <w:rsid w:val="00E565B5"/>
    <w:rsid w:val="00E71565"/>
    <w:rsid w:val="00EB14C0"/>
    <w:rsid w:val="00EC4E6A"/>
    <w:rsid w:val="00EE4338"/>
    <w:rsid w:val="00F06D03"/>
    <w:rsid w:val="00F73DFA"/>
    <w:rsid w:val="00F76768"/>
    <w:rsid w:val="00FA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59974"/>
  <w15:chartTrackingRefBased/>
  <w15:docId w15:val="{4A370834-D339-4BBE-8DE4-322F2D42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2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2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27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27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27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27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27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27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27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2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2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27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27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27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27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27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27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27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2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27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27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2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27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27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27D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2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27D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27DB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D2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27DB"/>
  </w:style>
  <w:style w:type="paragraph" w:styleId="Fuzeile">
    <w:name w:val="footer"/>
    <w:basedOn w:val="Standard"/>
    <w:link w:val="FuzeileZchn"/>
    <w:uiPriority w:val="99"/>
    <w:unhideWhenUsed/>
    <w:rsid w:val="00BD2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27DB"/>
  </w:style>
  <w:style w:type="paragraph" w:styleId="berarbeitung">
    <w:name w:val="Revision"/>
    <w:hidden/>
    <w:uiPriority w:val="99"/>
    <w:semiHidden/>
    <w:rsid w:val="00912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c7cf75-22d7-4526-acf3-27eb28fa3093" xsi:nil="true"/>
    <lcf76f155ced4ddcb4097134ff3c332f xmlns="ed9df683-3669-4e4c-b573-9715aa5634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8A1E3FA351B4792C0C1CA7B07CA80" ma:contentTypeVersion="14" ma:contentTypeDescription="Ein neues Dokument erstellen." ma:contentTypeScope="" ma:versionID="8c812df1109f36ee15065b582ab699a8">
  <xsd:schema xmlns:xsd="http://www.w3.org/2001/XMLSchema" xmlns:xs="http://www.w3.org/2001/XMLSchema" xmlns:p="http://schemas.microsoft.com/office/2006/metadata/properties" xmlns:ns2="ed9df683-3669-4e4c-b573-9715aa56349f" xmlns:ns3="d7c7cf75-22d7-4526-acf3-27eb28fa3093" targetNamespace="http://schemas.microsoft.com/office/2006/metadata/properties" ma:root="true" ma:fieldsID="4593bda6b607af5194f9e1e3fd52c9f8" ns2:_="" ns3:_="">
    <xsd:import namespace="ed9df683-3669-4e4c-b573-9715aa56349f"/>
    <xsd:import namespace="d7c7cf75-22d7-4526-acf3-27eb28fa3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df683-3669-4e4c-b573-9715aa563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827eaa1-67d3-48c8-b49a-e0f2032f8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7cf75-22d7-4526-acf3-27eb28fa3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0c4b4a9-9871-4753-bfb2-dd93e009bb40}" ma:internalName="TaxCatchAll" ma:showField="CatchAllData" ma:web="d7c7cf75-22d7-4526-acf3-27eb28fa3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446B4-2CDB-4FE7-B09E-68F3B314B80B}">
  <ds:schemaRefs>
    <ds:schemaRef ds:uri="http://schemas.microsoft.com/office/2006/metadata/properties"/>
    <ds:schemaRef ds:uri="http://schemas.microsoft.com/office/infopath/2007/PartnerControls"/>
    <ds:schemaRef ds:uri="d7c7cf75-22d7-4526-acf3-27eb28fa3093"/>
    <ds:schemaRef ds:uri="ed9df683-3669-4e4c-b573-9715aa56349f"/>
  </ds:schemaRefs>
</ds:datastoreItem>
</file>

<file path=customXml/itemProps2.xml><?xml version="1.0" encoding="utf-8"?>
<ds:datastoreItem xmlns:ds="http://schemas.openxmlformats.org/officeDocument/2006/customXml" ds:itemID="{BCFCF1E5-CA1D-4BC3-BF4E-8205A8DDA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df683-3669-4e4c-b573-9715aa56349f"/>
    <ds:schemaRef ds:uri="d7c7cf75-22d7-4526-acf3-27eb28fa3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A5416-831A-4B5A-AC94-0BFEEC88D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4318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Schüpbach</dc:creator>
  <cp:keywords/>
  <dc:description/>
  <cp:lastModifiedBy>Jan Schüpbach</cp:lastModifiedBy>
  <cp:revision>3</cp:revision>
  <dcterms:created xsi:type="dcterms:W3CDTF">2024-09-12T06:38:00Z</dcterms:created>
  <dcterms:modified xsi:type="dcterms:W3CDTF">2024-09-12T07:24:00Z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0x0101005E2F0658327FAC40B58C8DC28852B65F</vt:lpwstr>
  </property>
  <property fmtid="{D5CDD505-2E9C-101B-9397-08002B2CF9AE}" pid="3" name="MediaServiceImageTags">
    <vt:lpwstr/>
  </property>
</Properties>
</file>